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C0D5" w14:textId="3B29C716" w:rsidR="00AF37EE" w:rsidRPr="00781FF3" w:rsidRDefault="00AF37EE" w:rsidP="00AF37EE">
      <w:pPr>
        <w:spacing w:line="360" w:lineRule="auto"/>
        <w:rPr>
          <w:rFonts w:ascii="Verdana" w:hAnsi="Verdana"/>
          <w:bCs/>
          <w:sz w:val="20"/>
          <w:szCs w:val="20"/>
        </w:rPr>
      </w:pPr>
      <w:r w:rsidRPr="00781FF3">
        <w:rPr>
          <w:rFonts w:ascii="Verdana" w:eastAsia="Times New Roman" w:hAnsi="Verdana" w:cs="Arial"/>
          <w:bCs/>
          <w:i/>
          <w:sz w:val="20"/>
          <w:szCs w:val="20"/>
        </w:rPr>
        <w:t xml:space="preserve">Motion in terms </w:t>
      </w:r>
      <w:r w:rsidR="0057011B" w:rsidRPr="00781FF3">
        <w:rPr>
          <w:rFonts w:ascii="Verdana" w:eastAsia="Times New Roman" w:hAnsi="Verdana" w:cs="Arial"/>
          <w:bCs/>
          <w:i/>
          <w:sz w:val="20"/>
          <w:szCs w:val="20"/>
        </w:rPr>
        <w:t xml:space="preserve">Rule 121 read with Rule 122: Motion on </w:t>
      </w:r>
      <w:r w:rsidRPr="00781FF3">
        <w:rPr>
          <w:rFonts w:ascii="Verdana" w:eastAsia="Times New Roman" w:hAnsi="Verdana" w:cs="Arial"/>
          <w:bCs/>
          <w:i/>
          <w:sz w:val="20"/>
          <w:szCs w:val="20"/>
        </w:rPr>
        <w:t xml:space="preserve">the payment of compensation of the families of the victims of the Life </w:t>
      </w:r>
      <w:proofErr w:type="spellStart"/>
      <w:r w:rsidRPr="00781FF3">
        <w:rPr>
          <w:rFonts w:ascii="Verdana" w:eastAsia="Times New Roman" w:hAnsi="Verdana" w:cs="Arial"/>
          <w:bCs/>
          <w:i/>
          <w:sz w:val="20"/>
          <w:szCs w:val="20"/>
        </w:rPr>
        <w:t>Esidimeni</w:t>
      </w:r>
      <w:proofErr w:type="spellEnd"/>
      <w:r w:rsidRPr="00781FF3">
        <w:rPr>
          <w:rFonts w:ascii="Verdana" w:eastAsia="Times New Roman" w:hAnsi="Verdana" w:cs="Arial"/>
          <w:bCs/>
          <w:i/>
          <w:sz w:val="20"/>
          <w:szCs w:val="20"/>
        </w:rPr>
        <w:t xml:space="preserve"> tragedy which falls under the jurisdiction of the Office of the Premier:</w:t>
      </w:r>
    </w:p>
    <w:p w14:paraId="14FBBEE3" w14:textId="77777777" w:rsidR="00AF37EE" w:rsidRPr="00781FF3" w:rsidRDefault="00AF37EE" w:rsidP="007F6AC8">
      <w:pPr>
        <w:rPr>
          <w:rFonts w:ascii="Verdana" w:hAnsi="Verdana"/>
          <w:sz w:val="20"/>
          <w:szCs w:val="20"/>
        </w:rPr>
      </w:pPr>
    </w:p>
    <w:p w14:paraId="730A807E" w14:textId="52A2B816" w:rsidR="007F6AC8" w:rsidRPr="00781FF3" w:rsidRDefault="007F6AC8" w:rsidP="007F6AC8">
      <w:pPr>
        <w:rPr>
          <w:rFonts w:ascii="Verdana" w:hAnsi="Verdana"/>
          <w:b/>
          <w:bCs/>
          <w:i/>
          <w:iCs/>
          <w:sz w:val="20"/>
          <w:szCs w:val="20"/>
        </w:rPr>
      </w:pPr>
      <w:r w:rsidRPr="00781FF3">
        <w:rPr>
          <w:rFonts w:ascii="Verdana" w:hAnsi="Verdana"/>
          <w:b/>
          <w:bCs/>
          <w:i/>
          <w:iCs/>
          <w:sz w:val="20"/>
          <w:szCs w:val="20"/>
        </w:rPr>
        <w:t>Noting:</w:t>
      </w:r>
    </w:p>
    <w:p w14:paraId="477CFEA8" w14:textId="77777777" w:rsidR="00AF37EE" w:rsidRPr="00781FF3" w:rsidRDefault="00AF37EE" w:rsidP="007F6AC8">
      <w:pPr>
        <w:rPr>
          <w:rFonts w:ascii="Verdana" w:hAnsi="Verdana"/>
          <w:b/>
          <w:bCs/>
          <w:i/>
          <w:iCs/>
          <w:sz w:val="20"/>
          <w:szCs w:val="20"/>
        </w:rPr>
      </w:pPr>
    </w:p>
    <w:p w14:paraId="4597FDCF" w14:textId="77777777" w:rsidR="007F6AC8" w:rsidRPr="00781FF3" w:rsidRDefault="007F6AC8" w:rsidP="007F6AC8">
      <w:pPr>
        <w:rPr>
          <w:rFonts w:ascii="Verdana" w:hAnsi="Verdana"/>
          <w:sz w:val="20"/>
          <w:szCs w:val="20"/>
        </w:rPr>
      </w:pPr>
      <w:r w:rsidRPr="00781FF3">
        <w:rPr>
          <w:rFonts w:ascii="Verdana" w:hAnsi="Verdana"/>
          <w:sz w:val="20"/>
          <w:szCs w:val="20"/>
        </w:rPr>
        <w:t xml:space="preserve">1. That the Life </w:t>
      </w:r>
      <w:proofErr w:type="spellStart"/>
      <w:r w:rsidRPr="00781FF3">
        <w:rPr>
          <w:rFonts w:ascii="Verdana" w:hAnsi="Verdana"/>
          <w:sz w:val="20"/>
          <w:szCs w:val="20"/>
        </w:rPr>
        <w:t>Esidimeni</w:t>
      </w:r>
      <w:proofErr w:type="spellEnd"/>
      <w:r w:rsidRPr="00781FF3">
        <w:rPr>
          <w:rFonts w:ascii="Verdana" w:hAnsi="Verdana"/>
          <w:sz w:val="20"/>
          <w:szCs w:val="20"/>
        </w:rPr>
        <w:t xml:space="preserve"> tragedy led to the loss of 144 lives and suffering for hundreds of mental health patients who survived;</w:t>
      </w:r>
    </w:p>
    <w:p w14:paraId="72F0BD8C" w14:textId="77777777" w:rsidR="007F6AC8" w:rsidRPr="00781FF3" w:rsidRDefault="007F6AC8" w:rsidP="007F6AC8">
      <w:pPr>
        <w:rPr>
          <w:rFonts w:ascii="Verdana" w:hAnsi="Verdana"/>
          <w:sz w:val="20"/>
          <w:szCs w:val="20"/>
        </w:rPr>
      </w:pPr>
      <w:r w:rsidRPr="00781FF3">
        <w:rPr>
          <w:rFonts w:ascii="Verdana" w:hAnsi="Verdana"/>
          <w:sz w:val="20"/>
          <w:szCs w:val="20"/>
        </w:rPr>
        <w:t xml:space="preserve">2. That R159.46 million has been paid to victims who were part of the arbitration process presided over by Justice </w:t>
      </w:r>
      <w:proofErr w:type="spellStart"/>
      <w:r w:rsidRPr="00781FF3">
        <w:rPr>
          <w:rFonts w:ascii="Verdana" w:hAnsi="Verdana"/>
          <w:sz w:val="20"/>
          <w:szCs w:val="20"/>
        </w:rPr>
        <w:t>Dikgang</w:t>
      </w:r>
      <w:proofErr w:type="spellEnd"/>
      <w:r w:rsidRPr="00781FF3">
        <w:rPr>
          <w:rFonts w:ascii="Verdana" w:hAnsi="Verdana"/>
          <w:sz w:val="20"/>
          <w:szCs w:val="20"/>
        </w:rPr>
        <w:t xml:space="preserve"> </w:t>
      </w:r>
      <w:proofErr w:type="spellStart"/>
      <w:r w:rsidRPr="00781FF3">
        <w:rPr>
          <w:rFonts w:ascii="Verdana" w:hAnsi="Verdana"/>
          <w:sz w:val="20"/>
          <w:szCs w:val="20"/>
        </w:rPr>
        <w:t>Moseneke</w:t>
      </w:r>
      <w:proofErr w:type="spellEnd"/>
      <w:r w:rsidRPr="00781FF3">
        <w:rPr>
          <w:rFonts w:ascii="Verdana" w:hAnsi="Verdana"/>
          <w:sz w:val="20"/>
          <w:szCs w:val="20"/>
        </w:rPr>
        <w:t>;</w:t>
      </w:r>
    </w:p>
    <w:p w14:paraId="18A48B6A" w14:textId="214244A1" w:rsidR="007F6AC8" w:rsidRPr="00781FF3" w:rsidRDefault="007F6AC8" w:rsidP="007F6AC8">
      <w:pPr>
        <w:rPr>
          <w:rFonts w:ascii="Verdana" w:hAnsi="Verdana"/>
          <w:sz w:val="20"/>
          <w:szCs w:val="20"/>
        </w:rPr>
      </w:pPr>
      <w:r w:rsidRPr="00781FF3">
        <w:rPr>
          <w:rFonts w:ascii="Verdana" w:hAnsi="Verdana"/>
          <w:sz w:val="20"/>
          <w:szCs w:val="20"/>
        </w:rPr>
        <w:t>3. That more money has been paid to additional claimants who have since come forward;</w:t>
      </w:r>
    </w:p>
    <w:p w14:paraId="064FA6EA" w14:textId="77777777" w:rsidR="00AF37EE" w:rsidRPr="00781FF3" w:rsidRDefault="00AF37EE" w:rsidP="007F6AC8">
      <w:pPr>
        <w:rPr>
          <w:rFonts w:ascii="Verdana" w:hAnsi="Verdana"/>
          <w:sz w:val="20"/>
          <w:szCs w:val="20"/>
        </w:rPr>
      </w:pPr>
    </w:p>
    <w:p w14:paraId="3BB0D726" w14:textId="38C30AFE" w:rsidR="007F6AC8" w:rsidRPr="00781FF3" w:rsidRDefault="007F6AC8" w:rsidP="007F6AC8">
      <w:pPr>
        <w:rPr>
          <w:rFonts w:ascii="Verdana" w:hAnsi="Verdana"/>
          <w:b/>
          <w:bCs/>
          <w:i/>
          <w:iCs/>
          <w:sz w:val="20"/>
          <w:szCs w:val="20"/>
        </w:rPr>
      </w:pPr>
      <w:r w:rsidRPr="00781FF3">
        <w:rPr>
          <w:rFonts w:ascii="Verdana" w:hAnsi="Verdana"/>
          <w:b/>
          <w:bCs/>
          <w:i/>
          <w:iCs/>
          <w:sz w:val="20"/>
          <w:szCs w:val="20"/>
        </w:rPr>
        <w:t>and Believing:</w:t>
      </w:r>
    </w:p>
    <w:p w14:paraId="2D897DA7" w14:textId="77777777" w:rsidR="00AF37EE" w:rsidRPr="00781FF3" w:rsidRDefault="00AF37EE" w:rsidP="007F6AC8">
      <w:pPr>
        <w:rPr>
          <w:rFonts w:ascii="Verdana" w:hAnsi="Verdana"/>
          <w:b/>
          <w:bCs/>
          <w:i/>
          <w:iCs/>
          <w:sz w:val="20"/>
          <w:szCs w:val="20"/>
        </w:rPr>
      </w:pPr>
    </w:p>
    <w:p w14:paraId="07861E1F" w14:textId="1AD223BF" w:rsidR="007F6AC8" w:rsidRPr="00781FF3" w:rsidRDefault="007F6AC8" w:rsidP="00AF37EE">
      <w:pPr>
        <w:rPr>
          <w:rFonts w:ascii="Verdana" w:hAnsi="Verdana"/>
          <w:sz w:val="20"/>
          <w:szCs w:val="20"/>
        </w:rPr>
      </w:pPr>
      <w:r w:rsidRPr="00781FF3">
        <w:rPr>
          <w:rFonts w:ascii="Verdana" w:hAnsi="Verdana"/>
          <w:sz w:val="20"/>
          <w:szCs w:val="20"/>
        </w:rPr>
        <w:t>That all avenues should be followed to ensure maximum accountability from those who were responsible for this tragedy;</w:t>
      </w:r>
    </w:p>
    <w:p w14:paraId="0AB22909" w14:textId="77777777" w:rsidR="00AF37EE" w:rsidRPr="00781FF3" w:rsidRDefault="00AF37EE" w:rsidP="00AF37EE">
      <w:pPr>
        <w:rPr>
          <w:rFonts w:ascii="Verdana" w:hAnsi="Verdana"/>
          <w:sz w:val="20"/>
          <w:szCs w:val="20"/>
        </w:rPr>
      </w:pPr>
    </w:p>
    <w:p w14:paraId="52588610" w14:textId="0C3586EA" w:rsidR="007F6AC8" w:rsidRPr="00781FF3" w:rsidRDefault="007F6AC8" w:rsidP="00AF37EE">
      <w:pPr>
        <w:rPr>
          <w:rFonts w:ascii="Verdana" w:hAnsi="Verdana"/>
          <w:b/>
          <w:bCs/>
          <w:i/>
          <w:iCs/>
          <w:sz w:val="20"/>
          <w:szCs w:val="20"/>
        </w:rPr>
      </w:pPr>
      <w:r w:rsidRPr="00781FF3">
        <w:rPr>
          <w:rFonts w:ascii="Verdana" w:hAnsi="Verdana"/>
          <w:b/>
          <w:bCs/>
          <w:i/>
          <w:iCs/>
          <w:sz w:val="20"/>
          <w:szCs w:val="20"/>
        </w:rPr>
        <w:t>Therefore Resolves:</w:t>
      </w:r>
    </w:p>
    <w:p w14:paraId="7C856957" w14:textId="77777777" w:rsidR="00AF37EE" w:rsidRPr="00781FF3" w:rsidRDefault="00AF37EE" w:rsidP="00AF37EE">
      <w:pPr>
        <w:rPr>
          <w:rFonts w:ascii="Verdana" w:hAnsi="Verdana"/>
          <w:b/>
          <w:bCs/>
          <w:i/>
          <w:iCs/>
          <w:sz w:val="20"/>
          <w:szCs w:val="20"/>
        </w:rPr>
      </w:pPr>
    </w:p>
    <w:p w14:paraId="291BFEA9" w14:textId="7A3FBD90" w:rsidR="007F6AC8" w:rsidRPr="00781FF3" w:rsidRDefault="007F6AC8" w:rsidP="007F6AC8">
      <w:pPr>
        <w:rPr>
          <w:rFonts w:ascii="Verdana" w:hAnsi="Verdana"/>
          <w:sz w:val="20"/>
          <w:szCs w:val="20"/>
        </w:rPr>
      </w:pPr>
      <w:r w:rsidRPr="00781FF3">
        <w:rPr>
          <w:rFonts w:ascii="Verdana" w:hAnsi="Verdana"/>
          <w:sz w:val="20"/>
          <w:szCs w:val="20"/>
        </w:rPr>
        <w:t>1. That in addition to other legal processes, the</w:t>
      </w:r>
      <w:r w:rsidR="00AF37EE" w:rsidRPr="00781FF3">
        <w:rPr>
          <w:rFonts w:ascii="Verdana" w:hAnsi="Verdana"/>
          <w:sz w:val="20"/>
          <w:szCs w:val="20"/>
        </w:rPr>
        <w:t xml:space="preserve"> Gauteng</w:t>
      </w:r>
      <w:r w:rsidRPr="00781FF3">
        <w:rPr>
          <w:rFonts w:ascii="Verdana" w:hAnsi="Verdana"/>
          <w:sz w:val="20"/>
          <w:szCs w:val="20"/>
        </w:rPr>
        <w:t xml:space="preserve"> Provincial Government takes legal advice on using the Apportionment of Damages Act to recover some of the compensation money from former Health MEC</w:t>
      </w:r>
      <w:r w:rsidR="00AF37EE" w:rsidRPr="00781FF3">
        <w:rPr>
          <w:rFonts w:ascii="Verdana" w:hAnsi="Verdana"/>
          <w:sz w:val="20"/>
          <w:szCs w:val="20"/>
        </w:rPr>
        <w:t>,</w:t>
      </w:r>
      <w:r w:rsidRPr="00781FF3">
        <w:rPr>
          <w:rFonts w:ascii="Verdana" w:hAnsi="Verdana"/>
          <w:sz w:val="20"/>
          <w:szCs w:val="20"/>
        </w:rPr>
        <w:t xml:space="preserve"> </w:t>
      </w:r>
      <w:proofErr w:type="spellStart"/>
      <w:r w:rsidRPr="00781FF3">
        <w:rPr>
          <w:rFonts w:ascii="Verdana" w:hAnsi="Verdana"/>
          <w:sz w:val="20"/>
          <w:szCs w:val="20"/>
        </w:rPr>
        <w:t>Qedani</w:t>
      </w:r>
      <w:proofErr w:type="spellEnd"/>
      <w:r w:rsidRPr="00781FF3">
        <w:rPr>
          <w:rFonts w:ascii="Verdana" w:hAnsi="Verdana"/>
          <w:sz w:val="20"/>
          <w:szCs w:val="20"/>
        </w:rPr>
        <w:t xml:space="preserve"> Mahlangu, former Head of Department</w:t>
      </w:r>
      <w:r w:rsidR="00AF37EE" w:rsidRPr="00781FF3">
        <w:rPr>
          <w:rFonts w:ascii="Verdana" w:hAnsi="Verdana"/>
          <w:sz w:val="20"/>
          <w:szCs w:val="20"/>
        </w:rPr>
        <w:t>,</w:t>
      </w:r>
      <w:r w:rsidRPr="00781FF3">
        <w:rPr>
          <w:rFonts w:ascii="Verdana" w:hAnsi="Verdana"/>
          <w:sz w:val="20"/>
          <w:szCs w:val="20"/>
        </w:rPr>
        <w:t xml:space="preserve"> Barney </w:t>
      </w:r>
      <w:proofErr w:type="spellStart"/>
      <w:r w:rsidRPr="00781FF3">
        <w:rPr>
          <w:rFonts w:ascii="Verdana" w:hAnsi="Verdana"/>
          <w:sz w:val="20"/>
          <w:szCs w:val="20"/>
        </w:rPr>
        <w:t>Selebano</w:t>
      </w:r>
      <w:proofErr w:type="spellEnd"/>
      <w:r w:rsidRPr="00781FF3">
        <w:rPr>
          <w:rFonts w:ascii="Verdana" w:hAnsi="Verdana"/>
          <w:sz w:val="20"/>
          <w:szCs w:val="20"/>
        </w:rPr>
        <w:t xml:space="preserve"> and former Chief Director</w:t>
      </w:r>
      <w:r w:rsidR="00AF37EE" w:rsidRPr="00781FF3">
        <w:rPr>
          <w:rFonts w:ascii="Verdana" w:hAnsi="Verdana"/>
          <w:sz w:val="20"/>
          <w:szCs w:val="20"/>
        </w:rPr>
        <w:t>:</w:t>
      </w:r>
      <w:r w:rsidRPr="00781FF3">
        <w:rPr>
          <w:rFonts w:ascii="Verdana" w:hAnsi="Verdana"/>
          <w:sz w:val="20"/>
          <w:szCs w:val="20"/>
        </w:rPr>
        <w:t xml:space="preserve"> Mental Health</w:t>
      </w:r>
      <w:r w:rsidR="00AF37EE" w:rsidRPr="00781FF3">
        <w:rPr>
          <w:rFonts w:ascii="Verdana" w:hAnsi="Verdana"/>
          <w:sz w:val="20"/>
          <w:szCs w:val="20"/>
        </w:rPr>
        <w:t>,</w:t>
      </w:r>
      <w:r w:rsidRPr="00781FF3">
        <w:rPr>
          <w:rFonts w:ascii="Verdana" w:hAnsi="Verdana"/>
          <w:sz w:val="20"/>
          <w:szCs w:val="20"/>
        </w:rPr>
        <w:t xml:space="preserve"> </w:t>
      </w:r>
      <w:proofErr w:type="spellStart"/>
      <w:r w:rsidRPr="00781FF3">
        <w:rPr>
          <w:rFonts w:ascii="Verdana" w:hAnsi="Verdana"/>
          <w:sz w:val="20"/>
          <w:szCs w:val="20"/>
        </w:rPr>
        <w:t>Makgabo</w:t>
      </w:r>
      <w:proofErr w:type="spellEnd"/>
      <w:r w:rsidRPr="00781FF3">
        <w:rPr>
          <w:rFonts w:ascii="Verdana" w:hAnsi="Verdana"/>
          <w:sz w:val="20"/>
          <w:szCs w:val="20"/>
        </w:rPr>
        <w:t xml:space="preserve"> </w:t>
      </w:r>
      <w:proofErr w:type="spellStart"/>
      <w:r w:rsidRPr="00781FF3">
        <w:rPr>
          <w:rFonts w:ascii="Verdana" w:hAnsi="Verdana"/>
          <w:sz w:val="20"/>
          <w:szCs w:val="20"/>
        </w:rPr>
        <w:t>Manamela</w:t>
      </w:r>
      <w:proofErr w:type="spellEnd"/>
      <w:r w:rsidRPr="00781FF3">
        <w:rPr>
          <w:rFonts w:ascii="Verdana" w:hAnsi="Verdana"/>
          <w:sz w:val="20"/>
          <w:szCs w:val="20"/>
        </w:rPr>
        <w:t>.</w:t>
      </w:r>
    </w:p>
    <w:p w14:paraId="23CA1EE5" w14:textId="77777777" w:rsidR="00AF37EE" w:rsidRPr="00781FF3" w:rsidRDefault="00AF37EE" w:rsidP="007F6AC8">
      <w:pPr>
        <w:rPr>
          <w:rFonts w:ascii="Verdana" w:hAnsi="Verdana"/>
          <w:sz w:val="20"/>
          <w:szCs w:val="20"/>
        </w:rPr>
      </w:pPr>
    </w:p>
    <w:p w14:paraId="163F552E" w14:textId="7A582D2D" w:rsidR="007F6AC8" w:rsidRPr="00781FF3" w:rsidRDefault="007F6AC8" w:rsidP="007F6AC8">
      <w:pPr>
        <w:rPr>
          <w:rFonts w:ascii="Verdana" w:hAnsi="Verdana"/>
          <w:sz w:val="20"/>
          <w:szCs w:val="20"/>
        </w:rPr>
      </w:pPr>
      <w:r w:rsidRPr="00781FF3">
        <w:rPr>
          <w:rFonts w:ascii="Verdana" w:hAnsi="Verdana"/>
          <w:sz w:val="20"/>
          <w:szCs w:val="20"/>
        </w:rPr>
        <w:t>2. That the Honourable Premier report back to this House on this matter within 60 days, including whether he will seek to make the Arbitration Award an order of the court so that proceedings under the Act can go ahead to recover the money.</w:t>
      </w:r>
    </w:p>
    <w:p w14:paraId="16B375E5" w14:textId="77777777" w:rsidR="007F6AC8" w:rsidRPr="00781FF3" w:rsidRDefault="007F6AC8" w:rsidP="007F6AC8">
      <w:pPr>
        <w:spacing w:after="240"/>
        <w:rPr>
          <w:rFonts w:ascii="Verdana" w:hAnsi="Verdana"/>
          <w:sz w:val="20"/>
          <w:szCs w:val="20"/>
        </w:rPr>
      </w:pPr>
    </w:p>
    <w:p w14:paraId="3037385F" w14:textId="289CADB7" w:rsidR="00560DF9" w:rsidRDefault="007F6AC8" w:rsidP="007F6AC8">
      <w:pPr>
        <w:rPr>
          <w:rFonts w:ascii="Verdana" w:hAnsi="Verdana"/>
          <w:sz w:val="20"/>
          <w:szCs w:val="20"/>
        </w:rPr>
      </w:pPr>
      <w:r w:rsidRPr="00560DF9">
        <w:rPr>
          <w:rFonts w:ascii="Verdana" w:hAnsi="Verdana"/>
          <w:sz w:val="20"/>
          <w:szCs w:val="20"/>
        </w:rPr>
        <w:t>Proposed:</w:t>
      </w:r>
      <w:r w:rsidR="00560DF9" w:rsidRPr="00560DF9">
        <w:rPr>
          <w:rFonts w:ascii="Verdana" w:hAnsi="Verdana"/>
          <w:noProof/>
          <w:sz w:val="20"/>
          <w:szCs w:val="20"/>
        </w:rPr>
        <w:t xml:space="preserve"> </w:t>
      </w:r>
      <w:r w:rsidR="00560DF9" w:rsidRPr="00781FF3">
        <w:rPr>
          <w:rFonts w:ascii="Verdana" w:hAnsi="Verdana"/>
          <w:noProof/>
          <w:sz w:val="20"/>
          <w:szCs w:val="20"/>
        </w:rPr>
        <w:drawing>
          <wp:inline distT="0" distB="0" distL="0" distR="0" wp14:anchorId="0CFBD1BF" wp14:editId="33AA5571">
            <wp:extent cx="1063625" cy="63817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3625" cy="638175"/>
                    </a:xfrm>
                    <a:prstGeom prst="rect">
                      <a:avLst/>
                    </a:prstGeom>
                    <a:noFill/>
                    <a:ln>
                      <a:noFill/>
                    </a:ln>
                  </pic:spPr>
                </pic:pic>
              </a:graphicData>
            </a:graphic>
          </wp:inline>
        </w:drawing>
      </w:r>
    </w:p>
    <w:p w14:paraId="0FECF060" w14:textId="42308C07" w:rsidR="007F6AC8" w:rsidRPr="00560DF9" w:rsidRDefault="007F6AC8" w:rsidP="007F6AC8">
      <w:pPr>
        <w:rPr>
          <w:rFonts w:ascii="Verdana" w:hAnsi="Verdana"/>
          <w:b/>
          <w:bCs/>
          <w:sz w:val="20"/>
          <w:szCs w:val="20"/>
        </w:rPr>
      </w:pPr>
      <w:r w:rsidRPr="00560DF9">
        <w:rPr>
          <w:rFonts w:ascii="Verdana" w:hAnsi="Verdana"/>
          <w:b/>
          <w:bCs/>
          <w:sz w:val="20"/>
          <w:szCs w:val="20"/>
        </w:rPr>
        <w:t>J</w:t>
      </w:r>
      <w:r w:rsidR="00560DF9" w:rsidRPr="00560DF9">
        <w:rPr>
          <w:rFonts w:ascii="Verdana" w:hAnsi="Verdana"/>
          <w:b/>
          <w:bCs/>
          <w:sz w:val="20"/>
          <w:szCs w:val="20"/>
        </w:rPr>
        <w:t xml:space="preserve">ack </w:t>
      </w:r>
      <w:r w:rsidRPr="00560DF9">
        <w:rPr>
          <w:rFonts w:ascii="Verdana" w:hAnsi="Verdana"/>
          <w:b/>
          <w:bCs/>
          <w:sz w:val="20"/>
          <w:szCs w:val="20"/>
        </w:rPr>
        <w:t>Bloom</w:t>
      </w:r>
      <w:r w:rsidR="00AF37EE" w:rsidRPr="00560DF9">
        <w:rPr>
          <w:rFonts w:ascii="Verdana" w:hAnsi="Verdana"/>
          <w:b/>
          <w:bCs/>
          <w:sz w:val="20"/>
          <w:szCs w:val="20"/>
        </w:rPr>
        <w:t xml:space="preserve"> MPL</w:t>
      </w:r>
    </w:p>
    <w:p w14:paraId="24CA062D" w14:textId="09DE0089" w:rsidR="00AF37EE" w:rsidRPr="00781FF3" w:rsidRDefault="00AF37EE" w:rsidP="007F6AC8">
      <w:pPr>
        <w:spacing w:after="240"/>
        <w:rPr>
          <w:rFonts w:ascii="Verdana" w:hAnsi="Verdana"/>
          <w:sz w:val="20"/>
          <w:szCs w:val="20"/>
        </w:rPr>
      </w:pPr>
    </w:p>
    <w:p w14:paraId="05BD821D" w14:textId="03055E62" w:rsidR="00560DF9" w:rsidRDefault="007F6AC8" w:rsidP="007F6AC8">
      <w:pPr>
        <w:rPr>
          <w:rFonts w:ascii="Verdana" w:hAnsi="Verdana"/>
          <w:sz w:val="20"/>
          <w:szCs w:val="20"/>
        </w:rPr>
      </w:pPr>
      <w:r w:rsidRPr="00560DF9">
        <w:rPr>
          <w:rFonts w:ascii="Verdana" w:hAnsi="Verdana"/>
          <w:sz w:val="20"/>
          <w:szCs w:val="20"/>
        </w:rPr>
        <w:t>Seconded:</w:t>
      </w:r>
      <w:r w:rsidRPr="00781FF3">
        <w:rPr>
          <w:rFonts w:ascii="Verdana" w:hAnsi="Verdana"/>
          <w:sz w:val="20"/>
          <w:szCs w:val="20"/>
        </w:rPr>
        <w:t> </w:t>
      </w:r>
      <w:r w:rsidR="00560DF9" w:rsidRPr="00781FF3">
        <w:rPr>
          <w:rFonts w:ascii="Verdana" w:hAnsi="Verdana"/>
          <w:noProof/>
          <w:sz w:val="20"/>
          <w:szCs w:val="20"/>
        </w:rPr>
        <w:drawing>
          <wp:inline distT="0" distB="0" distL="0" distR="0" wp14:anchorId="00029A2A" wp14:editId="7EE0F873">
            <wp:extent cx="11430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a:ln>
                      <a:noFill/>
                    </a:ln>
                  </pic:spPr>
                </pic:pic>
              </a:graphicData>
            </a:graphic>
          </wp:inline>
        </w:drawing>
      </w:r>
      <w:bookmarkStart w:id="0" w:name="_GoBack"/>
      <w:bookmarkEnd w:id="0"/>
    </w:p>
    <w:p w14:paraId="78FA6A84" w14:textId="4DDE9842" w:rsidR="007F6AC8" w:rsidRPr="00560DF9" w:rsidRDefault="007F6AC8" w:rsidP="007F6AC8">
      <w:pPr>
        <w:rPr>
          <w:rFonts w:ascii="Verdana" w:hAnsi="Verdana"/>
          <w:b/>
          <w:bCs/>
          <w:sz w:val="20"/>
          <w:szCs w:val="20"/>
        </w:rPr>
      </w:pPr>
      <w:r w:rsidRPr="00560DF9">
        <w:rPr>
          <w:rFonts w:ascii="Verdana" w:hAnsi="Verdana"/>
          <w:b/>
          <w:bCs/>
          <w:sz w:val="20"/>
          <w:szCs w:val="20"/>
        </w:rPr>
        <w:t>Alan Fuchs</w:t>
      </w:r>
      <w:r w:rsidR="00560DF9" w:rsidRPr="00560DF9">
        <w:rPr>
          <w:rFonts w:ascii="Verdana" w:hAnsi="Verdana"/>
          <w:b/>
          <w:bCs/>
          <w:sz w:val="20"/>
          <w:szCs w:val="20"/>
        </w:rPr>
        <w:t xml:space="preserve"> MPL</w:t>
      </w:r>
    </w:p>
    <w:p w14:paraId="39D55073" w14:textId="10C224AB" w:rsidR="007F6AC8" w:rsidRPr="00781FF3" w:rsidRDefault="007F6AC8" w:rsidP="007F6AC8">
      <w:pPr>
        <w:spacing w:after="240"/>
        <w:rPr>
          <w:rFonts w:ascii="Verdana" w:hAnsi="Verdana"/>
          <w:sz w:val="20"/>
          <w:szCs w:val="20"/>
        </w:rPr>
      </w:pPr>
    </w:p>
    <w:p w14:paraId="50922FBC" w14:textId="77777777" w:rsidR="00110E35" w:rsidRPr="00AF37EE" w:rsidRDefault="00560DF9">
      <w:pPr>
        <w:rPr>
          <w:rFonts w:ascii="Verdana" w:hAnsi="Verdana"/>
        </w:rPr>
      </w:pPr>
    </w:p>
    <w:sectPr w:rsidR="00110E35" w:rsidRPr="00AF37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C8"/>
    <w:rsid w:val="00560DF9"/>
    <w:rsid w:val="0057011B"/>
    <w:rsid w:val="00781FF3"/>
    <w:rsid w:val="007F6AC8"/>
    <w:rsid w:val="00843BCC"/>
    <w:rsid w:val="00AF37EE"/>
    <w:rsid w:val="00E541AB"/>
    <w:rsid w:val="00F54A9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C11BA"/>
  <w15:chartTrackingRefBased/>
  <w15:docId w15:val="{C86638DB-E128-4C42-9E10-993CFE78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C8"/>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5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Gwilt</dc:creator>
  <cp:keywords/>
  <dc:description/>
  <cp:lastModifiedBy>Warren Gwilt</cp:lastModifiedBy>
  <cp:revision>3</cp:revision>
  <dcterms:created xsi:type="dcterms:W3CDTF">2019-08-23T07:55:00Z</dcterms:created>
  <dcterms:modified xsi:type="dcterms:W3CDTF">2019-08-23T07:57:00Z</dcterms:modified>
</cp:coreProperties>
</file>