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517824" w:rsidRPr="00517824" w:rsidRDefault="00517824" w:rsidP="00517824">
      <w:pPr>
        <w:spacing w:before="240" w:after="240" w:line="360" w:lineRule="auto"/>
        <w:jc w:val="center"/>
        <w:rPr>
          <w:rFonts w:ascii="Arial" w:hAnsi="Arial" w:cs="Arial"/>
          <w:b/>
          <w:bCs/>
          <w:lang w:val="en-ZA"/>
        </w:rPr>
      </w:pPr>
      <w:r w:rsidRPr="00517824">
        <w:rPr>
          <w:rFonts w:ascii="Arial" w:hAnsi="Arial" w:cs="Arial"/>
          <w:b/>
          <w:bCs/>
          <w:lang w:val="en-ZA"/>
        </w:rPr>
        <w:t>NATIONAL ASSEMBLY</w:t>
      </w:r>
    </w:p>
    <w:p w:rsidR="00517824" w:rsidRPr="00517824" w:rsidRDefault="00517824" w:rsidP="00517824">
      <w:pPr>
        <w:spacing w:before="240" w:after="240" w:line="360" w:lineRule="auto"/>
        <w:jc w:val="center"/>
        <w:rPr>
          <w:rFonts w:ascii="Arial" w:hAnsi="Arial" w:cs="Arial"/>
          <w:b/>
          <w:bCs/>
          <w:lang w:val="en-ZA"/>
        </w:rPr>
      </w:pPr>
      <w:r w:rsidRPr="00517824">
        <w:rPr>
          <w:rFonts w:ascii="Arial" w:hAnsi="Arial" w:cs="Arial"/>
          <w:b/>
          <w:bCs/>
          <w:lang w:val="en-ZA"/>
        </w:rPr>
        <w:t>FOR WRITTEN REPLY</w:t>
      </w:r>
    </w:p>
    <w:p w:rsidR="00517824" w:rsidRPr="00517824" w:rsidRDefault="00517824" w:rsidP="00517824">
      <w:pPr>
        <w:spacing w:before="240" w:after="240" w:line="360" w:lineRule="auto"/>
        <w:jc w:val="center"/>
        <w:rPr>
          <w:rFonts w:ascii="Arial" w:hAnsi="Arial" w:cs="Arial"/>
          <w:b/>
          <w:bCs/>
          <w:lang w:val="en-ZA"/>
        </w:rPr>
      </w:pPr>
      <w:r w:rsidRPr="00517824">
        <w:rPr>
          <w:rFonts w:ascii="Arial" w:hAnsi="Arial" w:cs="Arial"/>
          <w:b/>
          <w:bCs/>
          <w:lang w:val="en-ZA"/>
        </w:rPr>
        <w:t>QUESTION 966</w:t>
      </w:r>
    </w:p>
    <w:p w:rsidR="00517824" w:rsidRPr="00517824" w:rsidRDefault="00517824" w:rsidP="00517824">
      <w:pPr>
        <w:spacing w:before="240" w:after="240" w:line="360" w:lineRule="auto"/>
        <w:jc w:val="center"/>
        <w:rPr>
          <w:rFonts w:ascii="Arial" w:hAnsi="Arial" w:cs="Arial"/>
          <w:b/>
          <w:bCs/>
          <w:lang w:val="en-ZA"/>
        </w:rPr>
      </w:pPr>
      <w:r w:rsidRPr="00517824">
        <w:rPr>
          <w:rFonts w:ascii="Arial" w:hAnsi="Arial" w:cs="Arial"/>
          <w:b/>
          <w:bCs/>
          <w:lang w:val="en-ZA"/>
        </w:rPr>
        <w:t>DATE OF PUBLICATION OF INTERNAL QUESTION PAPER: 22/05/2020</w:t>
      </w:r>
    </w:p>
    <w:p w:rsidR="00517824" w:rsidRPr="00517824" w:rsidRDefault="00517824" w:rsidP="00517824">
      <w:pPr>
        <w:spacing w:before="240" w:after="240" w:line="360" w:lineRule="auto"/>
        <w:jc w:val="center"/>
        <w:rPr>
          <w:rFonts w:ascii="Arial" w:hAnsi="Arial" w:cs="Arial"/>
          <w:b/>
          <w:bCs/>
          <w:lang w:val="en-ZA"/>
        </w:rPr>
      </w:pPr>
      <w:r w:rsidRPr="00517824">
        <w:rPr>
          <w:rFonts w:ascii="Arial" w:hAnsi="Arial" w:cs="Arial"/>
          <w:b/>
          <w:bCs/>
          <w:lang w:val="en-ZA"/>
        </w:rPr>
        <w:t>INTERNAL QUESTION PAPER NO 17 OF 2020</w:t>
      </w:r>
    </w:p>
    <w:p w:rsidR="00517824" w:rsidRPr="00517824" w:rsidRDefault="00517824" w:rsidP="00517824">
      <w:pPr>
        <w:spacing w:before="240" w:after="240" w:line="360" w:lineRule="auto"/>
        <w:ind w:left="720" w:hanging="720"/>
        <w:jc w:val="both"/>
        <w:outlineLvl w:val="0"/>
        <w:rPr>
          <w:rFonts w:ascii="Arial" w:hAnsi="Arial" w:cs="Arial"/>
          <w:b/>
          <w:lang w:val="en-ZA"/>
        </w:rPr>
      </w:pPr>
      <w:r w:rsidRPr="00517824">
        <w:rPr>
          <w:rFonts w:ascii="Arial" w:hAnsi="Arial" w:cs="Arial"/>
          <w:b/>
          <w:lang w:val="en-ZA"/>
        </w:rPr>
        <w:t>Prof B Bozzoli (DA) to ask the Minister of Higher Education, Science and Technology</w:t>
      </w:r>
      <w:r w:rsidRPr="00517824">
        <w:rPr>
          <w:rFonts w:ascii="Arial" w:hAnsi="Arial" w:cs="Arial"/>
          <w:b/>
          <w:lang w:val="en-ZA"/>
        </w:rPr>
        <w:fldChar w:fldCharType="begin"/>
      </w:r>
      <w:r w:rsidRPr="00517824">
        <w:rPr>
          <w:rFonts w:ascii="Arial" w:hAnsi="Arial" w:cs="Arial"/>
          <w:lang w:val="en-ZA"/>
        </w:rPr>
        <w:instrText xml:space="preserve"> XE "</w:instrText>
      </w:r>
      <w:r w:rsidRPr="00517824">
        <w:rPr>
          <w:rFonts w:ascii="Arial" w:hAnsi="Arial" w:cs="Arial"/>
          <w:b/>
          <w:bCs/>
          <w:lang w:val="en-US"/>
        </w:rPr>
        <w:instrText>Higher Education, Science and Technology</w:instrText>
      </w:r>
      <w:r w:rsidRPr="00517824">
        <w:rPr>
          <w:rFonts w:ascii="Arial" w:hAnsi="Arial" w:cs="Arial"/>
          <w:lang w:val="en-ZA"/>
        </w:rPr>
        <w:instrText xml:space="preserve">" </w:instrText>
      </w:r>
      <w:r w:rsidRPr="00517824">
        <w:rPr>
          <w:rFonts w:ascii="Arial" w:hAnsi="Arial" w:cs="Arial"/>
          <w:b/>
          <w:lang w:val="en-ZA"/>
        </w:rPr>
        <w:fldChar w:fldCharType="end"/>
      </w:r>
      <w:r w:rsidRPr="00517824">
        <w:rPr>
          <w:rFonts w:ascii="Arial" w:hAnsi="Arial" w:cs="Arial"/>
          <w:b/>
          <w:lang w:val="en-ZA"/>
        </w:rPr>
        <w:t>:</w:t>
      </w:r>
    </w:p>
    <w:p w:rsidR="00517824" w:rsidRPr="00517824" w:rsidRDefault="00517824" w:rsidP="00517824">
      <w:pPr>
        <w:spacing w:before="240" w:after="240" w:line="360" w:lineRule="auto"/>
        <w:ind w:left="720" w:hanging="720"/>
        <w:jc w:val="both"/>
        <w:rPr>
          <w:rFonts w:ascii="Arial" w:hAnsi="Arial" w:cs="Arial"/>
          <w:lang w:val="en-ZA"/>
        </w:rPr>
      </w:pPr>
      <w:r w:rsidRPr="00517824">
        <w:rPr>
          <w:rFonts w:ascii="Arial" w:hAnsi="Arial" w:cs="Arial"/>
          <w:lang w:val="en-ZA"/>
        </w:rPr>
        <w:t>(1)</w:t>
      </w:r>
      <w:r w:rsidRPr="00517824">
        <w:rPr>
          <w:rFonts w:ascii="Arial" w:hAnsi="Arial" w:cs="Arial"/>
          <w:lang w:val="en-ZA"/>
        </w:rPr>
        <w:tab/>
        <w:t>What (a) amount of the R7,8 billion of irregular expenditure uncovered at the National Student Financial Aid Scheme (NSFAS) when the administrator took charge of the organisation (i) has been cleared and (ii) remains to be cleared and (b) is the timeline for clearing the irregular expenditure;</w:t>
      </w:r>
    </w:p>
    <w:p w:rsidR="00517824" w:rsidRPr="00517824" w:rsidRDefault="00517824" w:rsidP="00517824">
      <w:pPr>
        <w:spacing w:before="240" w:after="240" w:line="360" w:lineRule="auto"/>
        <w:ind w:left="720" w:hanging="720"/>
        <w:jc w:val="both"/>
        <w:rPr>
          <w:rFonts w:ascii="Arial" w:hAnsi="Arial" w:cs="Arial"/>
          <w:lang w:val="en-ZA"/>
        </w:rPr>
      </w:pPr>
      <w:r w:rsidRPr="00517824">
        <w:rPr>
          <w:rFonts w:ascii="Arial" w:hAnsi="Arial" w:cs="Arial"/>
          <w:lang w:val="en-ZA"/>
        </w:rPr>
        <w:t>(2)</w:t>
      </w:r>
      <w:r w:rsidRPr="00517824">
        <w:rPr>
          <w:rFonts w:ascii="Arial" w:hAnsi="Arial" w:cs="Arial"/>
          <w:lang w:val="en-ZA"/>
        </w:rPr>
        <w:tab/>
        <w:t>what are the key performance areas (KPAs) of the administrator of NSFAS for the current year;</w:t>
      </w:r>
    </w:p>
    <w:p w:rsidR="00517824" w:rsidRPr="00517824" w:rsidRDefault="00517824" w:rsidP="00517824">
      <w:pPr>
        <w:spacing w:before="240" w:after="240" w:line="360" w:lineRule="auto"/>
        <w:ind w:left="720" w:hanging="720"/>
        <w:jc w:val="both"/>
        <w:rPr>
          <w:rFonts w:ascii="Arial" w:hAnsi="Arial" w:cs="Arial"/>
          <w:lang w:val="en-ZA"/>
        </w:rPr>
      </w:pPr>
      <w:r w:rsidRPr="00517824">
        <w:rPr>
          <w:rFonts w:ascii="Arial" w:hAnsi="Arial" w:cs="Arial"/>
          <w:lang w:val="en-ZA"/>
        </w:rPr>
        <w:t>(3)</w:t>
      </w:r>
      <w:r w:rsidRPr="00517824">
        <w:rPr>
          <w:rFonts w:ascii="Arial" w:hAnsi="Arial" w:cs="Arial"/>
          <w:lang w:val="en-ZA"/>
        </w:rPr>
        <w:tab/>
        <w:t>whether he intends to extend the administrator’s term of office in order to make sure that the administrator fulfils the KPAs and the tasks that were set; if not, why not; if so, for how long?</w:t>
      </w:r>
      <w:r w:rsidRPr="00517824">
        <w:rPr>
          <w:rFonts w:ascii="Arial" w:hAnsi="Arial" w:cs="Arial"/>
          <w:lang w:val="en-ZA"/>
        </w:rPr>
        <w:tab/>
      </w:r>
      <w:r w:rsidRPr="00517824">
        <w:rPr>
          <w:rFonts w:ascii="Arial" w:hAnsi="Arial" w:cs="Arial"/>
          <w:lang w:val="en-ZA"/>
        </w:rPr>
        <w:tab/>
      </w:r>
      <w:r w:rsidRPr="00517824">
        <w:rPr>
          <w:rFonts w:ascii="Arial" w:hAnsi="Arial" w:cs="Arial"/>
          <w:lang w:val="en-ZA"/>
        </w:rPr>
        <w:tab/>
      </w:r>
      <w:r w:rsidRPr="00517824">
        <w:rPr>
          <w:rFonts w:ascii="Arial" w:hAnsi="Arial" w:cs="Arial"/>
          <w:lang w:val="en-ZA"/>
        </w:rPr>
        <w:tab/>
      </w:r>
      <w:r w:rsidRPr="00517824">
        <w:rPr>
          <w:rFonts w:ascii="Arial" w:hAnsi="Arial" w:cs="Arial"/>
          <w:lang w:val="en-ZA"/>
        </w:rPr>
        <w:tab/>
      </w:r>
      <w:r w:rsidRPr="00517824">
        <w:rPr>
          <w:rFonts w:ascii="Arial" w:hAnsi="Arial" w:cs="Arial"/>
          <w:lang w:val="en-ZA"/>
        </w:rPr>
        <w:tab/>
      </w:r>
    </w:p>
    <w:p w:rsidR="00517824" w:rsidRPr="00517824" w:rsidRDefault="00517824" w:rsidP="00517824">
      <w:pPr>
        <w:spacing w:before="240" w:after="240" w:line="360" w:lineRule="auto"/>
        <w:ind w:left="6480" w:firstLine="720"/>
        <w:jc w:val="both"/>
        <w:rPr>
          <w:rFonts w:ascii="Arial" w:hAnsi="Arial" w:cs="Arial"/>
          <w:b/>
          <w:lang w:val="en-ZA"/>
        </w:rPr>
      </w:pPr>
      <w:r w:rsidRPr="00517824">
        <w:rPr>
          <w:rFonts w:ascii="Arial" w:hAnsi="Arial" w:cs="Arial"/>
          <w:b/>
          <w:lang w:val="en-ZA"/>
        </w:rPr>
        <w:t>NW1255E</w:t>
      </w:r>
    </w:p>
    <w:p w:rsidR="00517824" w:rsidRPr="00517824" w:rsidRDefault="00517824" w:rsidP="00517824">
      <w:pPr>
        <w:spacing w:before="240" w:after="240" w:line="360" w:lineRule="auto"/>
        <w:jc w:val="both"/>
        <w:rPr>
          <w:rFonts w:ascii="Arial" w:hAnsi="Arial" w:cs="Arial"/>
          <w:b/>
        </w:rPr>
      </w:pPr>
    </w:p>
    <w:p w:rsidR="00517824" w:rsidRDefault="00517824" w:rsidP="00517824">
      <w:pPr>
        <w:spacing w:before="240" w:after="240" w:line="360" w:lineRule="auto"/>
        <w:jc w:val="both"/>
        <w:rPr>
          <w:rFonts w:ascii="Arial" w:hAnsi="Arial" w:cs="Arial"/>
          <w:b/>
        </w:rPr>
      </w:pPr>
    </w:p>
    <w:p w:rsidR="00517824" w:rsidRDefault="00517824" w:rsidP="00517824">
      <w:pPr>
        <w:spacing w:before="240" w:after="240" w:line="360" w:lineRule="auto"/>
        <w:jc w:val="both"/>
        <w:rPr>
          <w:rFonts w:ascii="Arial" w:hAnsi="Arial" w:cs="Arial"/>
          <w:b/>
        </w:rPr>
      </w:pPr>
    </w:p>
    <w:p w:rsidR="00517824" w:rsidRDefault="00517824" w:rsidP="00517824">
      <w:pPr>
        <w:spacing w:before="240" w:after="240" w:line="360" w:lineRule="auto"/>
        <w:jc w:val="both"/>
        <w:rPr>
          <w:rFonts w:ascii="Arial" w:hAnsi="Arial" w:cs="Arial"/>
          <w:b/>
        </w:rPr>
      </w:pPr>
    </w:p>
    <w:p w:rsidR="00517824" w:rsidRDefault="00517824" w:rsidP="00517824">
      <w:pPr>
        <w:spacing w:before="240" w:after="240" w:line="360" w:lineRule="auto"/>
        <w:jc w:val="both"/>
        <w:rPr>
          <w:rFonts w:ascii="Arial" w:hAnsi="Arial" w:cs="Arial"/>
          <w:b/>
        </w:rPr>
      </w:pPr>
    </w:p>
    <w:p w:rsidR="00517824" w:rsidRDefault="00517824" w:rsidP="00517824">
      <w:pPr>
        <w:spacing w:before="240" w:after="240" w:line="360" w:lineRule="auto"/>
        <w:jc w:val="both"/>
        <w:rPr>
          <w:rFonts w:ascii="Arial" w:hAnsi="Arial" w:cs="Arial"/>
          <w:b/>
        </w:rPr>
      </w:pPr>
    </w:p>
    <w:p w:rsidR="00517824" w:rsidRPr="00517824" w:rsidRDefault="00517824" w:rsidP="00517824">
      <w:pPr>
        <w:spacing w:before="240" w:after="240" w:line="360" w:lineRule="auto"/>
        <w:jc w:val="both"/>
        <w:rPr>
          <w:rFonts w:ascii="Arial" w:hAnsi="Arial" w:cs="Arial"/>
        </w:rPr>
      </w:pPr>
      <w:r w:rsidRPr="00517824">
        <w:rPr>
          <w:rFonts w:ascii="Arial" w:hAnsi="Arial" w:cs="Arial"/>
          <w:b/>
        </w:rPr>
        <w:lastRenderedPageBreak/>
        <w:t>REPLY:</w:t>
      </w:r>
      <w:r w:rsidRPr="00517824">
        <w:rPr>
          <w:rFonts w:ascii="Arial" w:hAnsi="Arial" w:cs="Arial"/>
        </w:rPr>
        <w:t xml:space="preserve"> </w:t>
      </w:r>
    </w:p>
    <w:tbl>
      <w:tblPr>
        <w:tblStyle w:val="TableGrid"/>
        <w:tblW w:w="0" w:type="auto"/>
        <w:tblLook w:val="04A0" w:firstRow="1" w:lastRow="0" w:firstColumn="1" w:lastColumn="0" w:noHBand="0" w:noVBand="1"/>
      </w:tblPr>
      <w:tblGrid>
        <w:gridCol w:w="2337"/>
        <w:gridCol w:w="2337"/>
        <w:gridCol w:w="2338"/>
        <w:gridCol w:w="2338"/>
      </w:tblGrid>
      <w:tr w:rsidR="00517824" w:rsidRPr="00517824" w:rsidTr="00F23F88">
        <w:trPr>
          <w:trHeight w:val="647"/>
        </w:trPr>
        <w:tc>
          <w:tcPr>
            <w:tcW w:w="2337" w:type="dxa"/>
          </w:tcPr>
          <w:p w:rsidR="00517824" w:rsidRPr="00517824" w:rsidRDefault="00517824" w:rsidP="00517824">
            <w:pPr>
              <w:spacing w:before="240" w:after="240" w:line="360" w:lineRule="auto"/>
              <w:jc w:val="both"/>
              <w:rPr>
                <w:rFonts w:ascii="Arial" w:eastAsia="Times New Roman" w:hAnsi="Arial" w:cs="Arial"/>
                <w:b/>
                <w:sz w:val="22"/>
                <w:szCs w:val="22"/>
              </w:rPr>
            </w:pPr>
            <w:r w:rsidRPr="00517824">
              <w:rPr>
                <w:rFonts w:ascii="Arial" w:eastAsia="Times New Roman" w:hAnsi="Arial" w:cs="Arial"/>
                <w:b/>
                <w:sz w:val="22"/>
                <w:szCs w:val="22"/>
              </w:rPr>
              <w:t>1.</w:t>
            </w:r>
          </w:p>
        </w:tc>
        <w:tc>
          <w:tcPr>
            <w:tcW w:w="2337" w:type="dxa"/>
          </w:tcPr>
          <w:p w:rsidR="00517824" w:rsidRPr="00517824" w:rsidRDefault="00517824" w:rsidP="00517824">
            <w:pPr>
              <w:spacing w:before="240" w:after="240" w:line="360" w:lineRule="auto"/>
              <w:jc w:val="both"/>
              <w:rPr>
                <w:rFonts w:ascii="Arial" w:eastAsia="Times New Roman" w:hAnsi="Arial" w:cs="Arial"/>
                <w:b/>
                <w:sz w:val="22"/>
                <w:szCs w:val="22"/>
              </w:rPr>
            </w:pPr>
            <w:r w:rsidRPr="00517824">
              <w:rPr>
                <w:rFonts w:ascii="Arial" w:eastAsia="Times New Roman" w:hAnsi="Arial" w:cs="Arial"/>
                <w:b/>
                <w:sz w:val="22"/>
                <w:szCs w:val="22"/>
              </w:rPr>
              <w:t>1 (a) (i)</w:t>
            </w:r>
          </w:p>
        </w:tc>
        <w:tc>
          <w:tcPr>
            <w:tcW w:w="2338" w:type="dxa"/>
          </w:tcPr>
          <w:p w:rsidR="00517824" w:rsidRPr="00517824" w:rsidRDefault="00517824" w:rsidP="00517824">
            <w:pPr>
              <w:spacing w:before="240" w:after="240" w:line="360" w:lineRule="auto"/>
              <w:jc w:val="both"/>
              <w:rPr>
                <w:rFonts w:ascii="Arial" w:eastAsia="Times New Roman" w:hAnsi="Arial" w:cs="Arial"/>
                <w:b/>
                <w:sz w:val="22"/>
                <w:szCs w:val="22"/>
              </w:rPr>
            </w:pPr>
            <w:r w:rsidRPr="00517824">
              <w:rPr>
                <w:rFonts w:ascii="Arial" w:eastAsia="Times New Roman" w:hAnsi="Arial" w:cs="Arial"/>
                <w:b/>
                <w:sz w:val="22"/>
                <w:szCs w:val="22"/>
              </w:rPr>
              <w:t>1 (</w:t>
            </w:r>
            <w:r w:rsidR="00F23F88" w:rsidRPr="00517824">
              <w:rPr>
                <w:rFonts w:ascii="Arial" w:eastAsia="Times New Roman" w:hAnsi="Arial" w:cs="Arial"/>
                <w:b/>
                <w:sz w:val="22"/>
                <w:szCs w:val="22"/>
              </w:rPr>
              <w:t>a) (</w:t>
            </w:r>
            <w:r w:rsidRPr="00517824">
              <w:rPr>
                <w:rFonts w:ascii="Arial" w:eastAsia="Times New Roman" w:hAnsi="Arial" w:cs="Arial"/>
                <w:b/>
                <w:sz w:val="22"/>
                <w:szCs w:val="22"/>
              </w:rPr>
              <w:t>ii)</w:t>
            </w:r>
          </w:p>
        </w:tc>
        <w:tc>
          <w:tcPr>
            <w:tcW w:w="2338" w:type="dxa"/>
          </w:tcPr>
          <w:p w:rsidR="00517824" w:rsidRPr="00517824" w:rsidRDefault="00517824" w:rsidP="00517824">
            <w:pPr>
              <w:spacing w:before="240" w:after="240" w:line="360" w:lineRule="auto"/>
              <w:jc w:val="both"/>
              <w:rPr>
                <w:rFonts w:ascii="Arial" w:eastAsia="Times New Roman" w:hAnsi="Arial" w:cs="Arial"/>
                <w:b/>
                <w:sz w:val="22"/>
                <w:szCs w:val="22"/>
              </w:rPr>
            </w:pPr>
            <w:r w:rsidRPr="00517824">
              <w:rPr>
                <w:rFonts w:ascii="Arial" w:eastAsia="Times New Roman" w:hAnsi="Arial" w:cs="Arial"/>
                <w:b/>
                <w:sz w:val="22"/>
                <w:szCs w:val="22"/>
              </w:rPr>
              <w:t>1 (b)</w:t>
            </w:r>
          </w:p>
        </w:tc>
      </w:tr>
      <w:tr w:rsidR="00517824" w:rsidRPr="00517824" w:rsidTr="00F23F88">
        <w:tc>
          <w:tcPr>
            <w:tcW w:w="2337" w:type="dxa"/>
          </w:tcPr>
          <w:p w:rsidR="00517824" w:rsidRPr="00517824" w:rsidRDefault="00517824" w:rsidP="00F23F88">
            <w:pPr>
              <w:spacing w:before="240" w:after="240" w:line="360" w:lineRule="auto"/>
              <w:rPr>
                <w:rFonts w:ascii="Arial" w:eastAsia="Times New Roman" w:hAnsi="Arial" w:cs="Arial"/>
                <w:sz w:val="22"/>
                <w:szCs w:val="22"/>
              </w:rPr>
            </w:pPr>
            <w:r w:rsidRPr="00517824">
              <w:rPr>
                <w:rFonts w:ascii="Arial" w:eastAsia="Times New Roman" w:hAnsi="Arial" w:cs="Arial"/>
                <w:sz w:val="22"/>
                <w:szCs w:val="22"/>
              </w:rPr>
              <w:t>Shifting of earmarked funds (historic debt)</w:t>
            </w:r>
          </w:p>
        </w:tc>
        <w:tc>
          <w:tcPr>
            <w:tcW w:w="2337" w:type="dxa"/>
          </w:tcPr>
          <w:p w:rsidR="00517824" w:rsidRPr="00517824" w:rsidRDefault="00517824" w:rsidP="00517824">
            <w:pPr>
              <w:spacing w:before="240" w:after="240" w:line="360" w:lineRule="auto"/>
              <w:jc w:val="both"/>
              <w:rPr>
                <w:rFonts w:ascii="Arial" w:eastAsia="Times New Roman" w:hAnsi="Arial" w:cs="Arial"/>
                <w:sz w:val="22"/>
                <w:szCs w:val="22"/>
              </w:rPr>
            </w:pPr>
            <w:r w:rsidRPr="00517824">
              <w:rPr>
                <w:rFonts w:ascii="Arial" w:eastAsia="Times New Roman" w:hAnsi="Arial" w:cs="Arial"/>
                <w:sz w:val="22"/>
                <w:szCs w:val="22"/>
              </w:rPr>
              <w:t>R1.963 billion</w:t>
            </w:r>
          </w:p>
        </w:tc>
        <w:tc>
          <w:tcPr>
            <w:tcW w:w="2338" w:type="dxa"/>
          </w:tcPr>
          <w:p w:rsidR="00517824" w:rsidRPr="00517824" w:rsidRDefault="00517824" w:rsidP="00517824">
            <w:pPr>
              <w:spacing w:before="240" w:after="240" w:line="360" w:lineRule="auto"/>
              <w:jc w:val="both"/>
              <w:rPr>
                <w:rFonts w:ascii="Arial" w:eastAsia="Times New Roman" w:hAnsi="Arial" w:cs="Arial"/>
                <w:sz w:val="22"/>
                <w:szCs w:val="22"/>
              </w:rPr>
            </w:pPr>
          </w:p>
        </w:tc>
        <w:tc>
          <w:tcPr>
            <w:tcW w:w="2338" w:type="dxa"/>
          </w:tcPr>
          <w:p w:rsidR="00517824" w:rsidRPr="00517824" w:rsidRDefault="00517824" w:rsidP="00F23F88">
            <w:pPr>
              <w:spacing w:before="240" w:after="240" w:line="360" w:lineRule="auto"/>
              <w:rPr>
                <w:rFonts w:ascii="Arial" w:eastAsia="Times New Roman" w:hAnsi="Arial" w:cs="Arial"/>
                <w:sz w:val="22"/>
                <w:szCs w:val="22"/>
              </w:rPr>
            </w:pPr>
            <w:r w:rsidRPr="00517824">
              <w:rPr>
                <w:rFonts w:ascii="Arial" w:eastAsia="Times New Roman" w:hAnsi="Arial" w:cs="Arial"/>
                <w:sz w:val="22"/>
                <w:szCs w:val="22"/>
              </w:rPr>
              <w:t>In the process of being written off.</w:t>
            </w:r>
          </w:p>
        </w:tc>
      </w:tr>
      <w:tr w:rsidR="00517824" w:rsidRPr="00517824" w:rsidTr="00F23F88">
        <w:tc>
          <w:tcPr>
            <w:tcW w:w="2337" w:type="dxa"/>
          </w:tcPr>
          <w:p w:rsidR="00517824" w:rsidRPr="00517824" w:rsidRDefault="00517824" w:rsidP="00F23F88">
            <w:pPr>
              <w:spacing w:before="240" w:after="240" w:line="360" w:lineRule="auto"/>
              <w:rPr>
                <w:rFonts w:ascii="Arial" w:eastAsia="Times New Roman" w:hAnsi="Arial" w:cs="Arial"/>
                <w:sz w:val="22"/>
                <w:szCs w:val="22"/>
              </w:rPr>
            </w:pPr>
            <w:r w:rsidRPr="00517824">
              <w:rPr>
                <w:rFonts w:ascii="Arial" w:eastAsia="Times New Roman" w:hAnsi="Arial" w:cs="Arial"/>
                <w:sz w:val="22"/>
                <w:szCs w:val="22"/>
              </w:rPr>
              <w:t>Disbursements with respect to NOCLAR</w:t>
            </w:r>
          </w:p>
        </w:tc>
        <w:tc>
          <w:tcPr>
            <w:tcW w:w="2337" w:type="dxa"/>
          </w:tcPr>
          <w:p w:rsidR="00517824" w:rsidRPr="00517824" w:rsidRDefault="00517824" w:rsidP="00517824">
            <w:pPr>
              <w:spacing w:before="240" w:after="240" w:line="360" w:lineRule="auto"/>
              <w:jc w:val="both"/>
              <w:rPr>
                <w:rFonts w:ascii="Arial" w:eastAsia="Times New Roman" w:hAnsi="Arial" w:cs="Arial"/>
                <w:sz w:val="22"/>
                <w:szCs w:val="22"/>
              </w:rPr>
            </w:pPr>
          </w:p>
        </w:tc>
        <w:tc>
          <w:tcPr>
            <w:tcW w:w="2338" w:type="dxa"/>
          </w:tcPr>
          <w:p w:rsidR="00517824" w:rsidRPr="00517824" w:rsidRDefault="00517824" w:rsidP="00517824">
            <w:pPr>
              <w:spacing w:before="240" w:after="240" w:line="360" w:lineRule="auto"/>
              <w:jc w:val="both"/>
              <w:rPr>
                <w:rFonts w:ascii="Arial" w:eastAsia="Times New Roman" w:hAnsi="Arial" w:cs="Arial"/>
                <w:sz w:val="22"/>
                <w:szCs w:val="22"/>
              </w:rPr>
            </w:pPr>
            <w:r w:rsidRPr="00517824">
              <w:rPr>
                <w:rFonts w:ascii="Arial" w:eastAsia="Times New Roman" w:hAnsi="Arial" w:cs="Arial"/>
                <w:sz w:val="22"/>
                <w:szCs w:val="22"/>
              </w:rPr>
              <w:t>R4.359 billion</w:t>
            </w:r>
          </w:p>
        </w:tc>
        <w:tc>
          <w:tcPr>
            <w:tcW w:w="2338" w:type="dxa"/>
          </w:tcPr>
          <w:p w:rsidR="00517824" w:rsidRPr="00517824" w:rsidRDefault="00517824" w:rsidP="00F23F88">
            <w:pPr>
              <w:spacing w:before="240" w:after="240" w:line="360" w:lineRule="auto"/>
              <w:rPr>
                <w:rFonts w:ascii="Arial" w:eastAsia="Times New Roman" w:hAnsi="Arial" w:cs="Arial"/>
                <w:sz w:val="22"/>
                <w:szCs w:val="22"/>
              </w:rPr>
            </w:pPr>
            <w:r w:rsidRPr="00517824">
              <w:rPr>
                <w:rFonts w:ascii="Arial" w:eastAsia="Times New Roman" w:hAnsi="Arial" w:cs="Arial"/>
                <w:sz w:val="22"/>
                <w:szCs w:val="22"/>
              </w:rPr>
              <w:t xml:space="preserve">This should be closed out during the 2020/21 financial year, including recoveries. </w:t>
            </w:r>
          </w:p>
          <w:p w:rsidR="00517824" w:rsidRPr="00517824" w:rsidRDefault="00517824" w:rsidP="00517824">
            <w:pPr>
              <w:spacing w:before="240" w:after="240" w:line="360" w:lineRule="auto"/>
              <w:jc w:val="both"/>
              <w:rPr>
                <w:rFonts w:ascii="Arial" w:eastAsia="Times New Roman" w:hAnsi="Arial" w:cs="Arial"/>
                <w:sz w:val="22"/>
                <w:szCs w:val="22"/>
              </w:rPr>
            </w:pPr>
          </w:p>
        </w:tc>
      </w:tr>
      <w:tr w:rsidR="00517824" w:rsidRPr="00517824" w:rsidTr="00F23F88">
        <w:tc>
          <w:tcPr>
            <w:tcW w:w="2337" w:type="dxa"/>
          </w:tcPr>
          <w:p w:rsidR="00517824" w:rsidRPr="00517824" w:rsidRDefault="00517824" w:rsidP="00F23F88">
            <w:pPr>
              <w:spacing w:before="240" w:after="240" w:line="360" w:lineRule="auto"/>
              <w:rPr>
                <w:rFonts w:ascii="Arial" w:eastAsia="Times New Roman" w:hAnsi="Arial" w:cs="Arial"/>
                <w:sz w:val="22"/>
                <w:szCs w:val="22"/>
              </w:rPr>
            </w:pPr>
            <w:r w:rsidRPr="00517824">
              <w:rPr>
                <w:rFonts w:ascii="Arial" w:eastAsia="Times New Roman" w:hAnsi="Arial" w:cs="Arial"/>
                <w:sz w:val="22"/>
                <w:szCs w:val="22"/>
              </w:rPr>
              <w:t>Disbursements in excess of contract amounts</w:t>
            </w:r>
          </w:p>
        </w:tc>
        <w:tc>
          <w:tcPr>
            <w:tcW w:w="2337" w:type="dxa"/>
          </w:tcPr>
          <w:p w:rsidR="00517824" w:rsidRPr="00517824" w:rsidRDefault="00517824" w:rsidP="00F23F88">
            <w:pPr>
              <w:spacing w:before="240" w:after="240" w:line="360" w:lineRule="auto"/>
              <w:rPr>
                <w:rFonts w:ascii="Arial" w:eastAsia="Times New Roman" w:hAnsi="Arial" w:cs="Arial"/>
                <w:sz w:val="22"/>
                <w:szCs w:val="22"/>
              </w:rPr>
            </w:pPr>
          </w:p>
        </w:tc>
        <w:tc>
          <w:tcPr>
            <w:tcW w:w="2338" w:type="dxa"/>
          </w:tcPr>
          <w:p w:rsidR="00517824" w:rsidRPr="00517824" w:rsidRDefault="00517824" w:rsidP="00F23F88">
            <w:pPr>
              <w:spacing w:before="240" w:after="240" w:line="360" w:lineRule="auto"/>
              <w:rPr>
                <w:rFonts w:ascii="Arial" w:eastAsia="Times New Roman" w:hAnsi="Arial" w:cs="Arial"/>
                <w:sz w:val="22"/>
                <w:szCs w:val="22"/>
              </w:rPr>
            </w:pPr>
          </w:p>
        </w:tc>
        <w:tc>
          <w:tcPr>
            <w:tcW w:w="2338" w:type="dxa"/>
          </w:tcPr>
          <w:p w:rsidR="00517824" w:rsidRPr="00517824" w:rsidRDefault="00517824" w:rsidP="00F23F88">
            <w:pPr>
              <w:spacing w:before="240" w:after="240" w:line="360" w:lineRule="auto"/>
              <w:rPr>
                <w:rFonts w:ascii="Arial" w:eastAsia="Times New Roman" w:hAnsi="Arial" w:cs="Arial"/>
                <w:sz w:val="22"/>
                <w:szCs w:val="22"/>
              </w:rPr>
            </w:pPr>
            <w:r w:rsidRPr="00517824">
              <w:rPr>
                <w:rFonts w:ascii="Arial" w:eastAsia="Times New Roman" w:hAnsi="Arial" w:cs="Arial"/>
                <w:sz w:val="22"/>
                <w:szCs w:val="22"/>
              </w:rPr>
              <w:t xml:space="preserve">NSFAS has applied to the Credit Regulator for a waiver to this legislative requirement. </w:t>
            </w:r>
          </w:p>
        </w:tc>
      </w:tr>
      <w:tr w:rsidR="00517824" w:rsidRPr="00517824" w:rsidTr="00F23F88">
        <w:tc>
          <w:tcPr>
            <w:tcW w:w="2337" w:type="dxa"/>
          </w:tcPr>
          <w:p w:rsidR="00517824" w:rsidRPr="00517824" w:rsidRDefault="00517824" w:rsidP="00F23F88">
            <w:pPr>
              <w:spacing w:before="240" w:after="240" w:line="360" w:lineRule="auto"/>
              <w:rPr>
                <w:rFonts w:ascii="Arial" w:eastAsia="Times New Roman" w:hAnsi="Arial" w:cs="Arial"/>
                <w:sz w:val="22"/>
                <w:szCs w:val="22"/>
              </w:rPr>
            </w:pPr>
            <w:r w:rsidRPr="00517824">
              <w:rPr>
                <w:rFonts w:ascii="Arial" w:eastAsia="Times New Roman" w:hAnsi="Arial" w:cs="Arial"/>
                <w:sz w:val="22"/>
                <w:szCs w:val="22"/>
              </w:rPr>
              <w:t xml:space="preserve">Other </w:t>
            </w:r>
          </w:p>
        </w:tc>
        <w:tc>
          <w:tcPr>
            <w:tcW w:w="2337" w:type="dxa"/>
          </w:tcPr>
          <w:p w:rsidR="00517824" w:rsidRPr="00517824" w:rsidRDefault="00517824" w:rsidP="00F23F88">
            <w:pPr>
              <w:spacing w:before="240" w:after="240" w:line="360" w:lineRule="auto"/>
              <w:rPr>
                <w:rFonts w:ascii="Arial" w:eastAsia="Times New Roman" w:hAnsi="Arial" w:cs="Arial"/>
                <w:sz w:val="22"/>
                <w:szCs w:val="22"/>
              </w:rPr>
            </w:pPr>
            <w:r w:rsidRPr="00517824">
              <w:rPr>
                <w:rFonts w:ascii="Arial" w:eastAsia="Times New Roman" w:hAnsi="Arial" w:cs="Arial"/>
                <w:sz w:val="22"/>
                <w:szCs w:val="22"/>
              </w:rPr>
              <w:t>R6 million</w:t>
            </w:r>
          </w:p>
        </w:tc>
        <w:tc>
          <w:tcPr>
            <w:tcW w:w="2338" w:type="dxa"/>
          </w:tcPr>
          <w:p w:rsidR="00517824" w:rsidRPr="00517824" w:rsidRDefault="00517824" w:rsidP="00F23F88">
            <w:pPr>
              <w:spacing w:before="240" w:after="240" w:line="360" w:lineRule="auto"/>
              <w:rPr>
                <w:rFonts w:ascii="Arial" w:eastAsia="Times New Roman" w:hAnsi="Arial" w:cs="Arial"/>
                <w:sz w:val="22"/>
                <w:szCs w:val="22"/>
              </w:rPr>
            </w:pPr>
          </w:p>
        </w:tc>
        <w:tc>
          <w:tcPr>
            <w:tcW w:w="2338" w:type="dxa"/>
          </w:tcPr>
          <w:p w:rsidR="00517824" w:rsidRPr="00517824" w:rsidRDefault="00517824" w:rsidP="00F23F88">
            <w:pPr>
              <w:spacing w:before="240" w:after="240" w:line="360" w:lineRule="auto"/>
              <w:rPr>
                <w:rFonts w:ascii="Arial" w:eastAsia="Times New Roman" w:hAnsi="Arial" w:cs="Arial"/>
                <w:sz w:val="22"/>
                <w:szCs w:val="22"/>
              </w:rPr>
            </w:pPr>
            <w:r w:rsidRPr="00517824">
              <w:rPr>
                <w:rFonts w:ascii="Arial" w:eastAsia="Times New Roman" w:hAnsi="Arial" w:cs="Arial"/>
                <w:sz w:val="22"/>
                <w:szCs w:val="22"/>
              </w:rPr>
              <w:t>The investigation is complete and findings indicate that no was loss incurred but it was rather a compliance matter only.</w:t>
            </w:r>
          </w:p>
        </w:tc>
      </w:tr>
    </w:tbl>
    <w:p w:rsidR="00517824" w:rsidRPr="00517824" w:rsidRDefault="00517824" w:rsidP="00517824">
      <w:pPr>
        <w:spacing w:before="240" w:after="240" w:line="360" w:lineRule="auto"/>
        <w:jc w:val="both"/>
        <w:rPr>
          <w:rFonts w:ascii="Arial" w:hAnsi="Arial" w:cs="Arial"/>
        </w:rPr>
      </w:pPr>
    </w:p>
    <w:p w:rsidR="00517824" w:rsidRPr="00517824" w:rsidRDefault="00517824" w:rsidP="00517824">
      <w:pPr>
        <w:spacing w:before="240" w:after="240" w:line="360" w:lineRule="auto"/>
        <w:jc w:val="both"/>
        <w:rPr>
          <w:rFonts w:ascii="Arial" w:hAnsi="Arial" w:cs="Arial"/>
        </w:rPr>
      </w:pPr>
      <w:r w:rsidRPr="00517824">
        <w:rPr>
          <w:rFonts w:ascii="Arial" w:hAnsi="Arial" w:cs="Arial"/>
        </w:rPr>
        <w:t xml:space="preserve">. </w:t>
      </w:r>
    </w:p>
    <w:p w:rsidR="00517824" w:rsidRPr="00517824" w:rsidRDefault="00517824" w:rsidP="00517824">
      <w:pPr>
        <w:tabs>
          <w:tab w:val="left" w:pos="360"/>
        </w:tabs>
        <w:spacing w:before="240" w:after="240" w:line="360" w:lineRule="auto"/>
        <w:ind w:left="360" w:hanging="360"/>
        <w:jc w:val="both"/>
        <w:rPr>
          <w:rFonts w:ascii="Arial" w:hAnsi="Arial" w:cs="Arial"/>
        </w:rPr>
      </w:pPr>
      <w:r w:rsidRPr="00517824">
        <w:rPr>
          <w:rFonts w:ascii="Arial" w:hAnsi="Arial" w:cs="Arial"/>
        </w:rPr>
        <w:lastRenderedPageBreak/>
        <w:t xml:space="preserve">(2) The key performance areas of the Administrator are: </w:t>
      </w:r>
    </w:p>
    <w:p w:rsidR="00517824" w:rsidRPr="00517824" w:rsidRDefault="00517824" w:rsidP="00517824">
      <w:pPr>
        <w:numPr>
          <w:ilvl w:val="0"/>
          <w:numId w:val="15"/>
        </w:numPr>
        <w:spacing w:before="240" w:after="240" w:line="360" w:lineRule="auto"/>
        <w:contextualSpacing/>
        <w:jc w:val="both"/>
        <w:rPr>
          <w:rFonts w:ascii="Arial" w:hAnsi="Arial" w:cs="Arial"/>
        </w:rPr>
      </w:pPr>
      <w:r w:rsidRPr="00517824">
        <w:rPr>
          <w:rFonts w:ascii="Arial" w:hAnsi="Arial" w:cs="Arial"/>
        </w:rPr>
        <w:t xml:space="preserve">Finalise the close out of the 2017/18 student funding cycle, including the finalisation of all data exchange and final payments. - Ensure the effective close out of the 2019 funding cycle and provision of accurate data to the Department. </w:t>
      </w:r>
    </w:p>
    <w:p w:rsidR="00517824" w:rsidRPr="00517824" w:rsidRDefault="00517824" w:rsidP="00517824">
      <w:pPr>
        <w:numPr>
          <w:ilvl w:val="0"/>
          <w:numId w:val="15"/>
        </w:numPr>
        <w:spacing w:before="240" w:after="240" w:line="360" w:lineRule="auto"/>
        <w:contextualSpacing/>
        <w:jc w:val="both"/>
        <w:rPr>
          <w:rFonts w:ascii="Arial" w:hAnsi="Arial" w:cs="Arial"/>
        </w:rPr>
      </w:pPr>
      <w:r w:rsidRPr="00517824">
        <w:rPr>
          <w:rFonts w:ascii="Arial" w:hAnsi="Arial" w:cs="Arial"/>
        </w:rPr>
        <w:t>Ensure effective preparation for, and implementation of, the 2020 student funding cycle in consultation with the Department.</w:t>
      </w:r>
    </w:p>
    <w:p w:rsidR="00517824" w:rsidRPr="00517824" w:rsidRDefault="00517824" w:rsidP="00517824">
      <w:pPr>
        <w:numPr>
          <w:ilvl w:val="0"/>
          <w:numId w:val="15"/>
        </w:numPr>
        <w:spacing w:before="240" w:after="240" w:line="360" w:lineRule="auto"/>
        <w:contextualSpacing/>
        <w:jc w:val="both"/>
        <w:rPr>
          <w:rFonts w:ascii="Arial" w:hAnsi="Arial" w:cs="Arial"/>
        </w:rPr>
      </w:pPr>
      <w:r w:rsidRPr="00517824">
        <w:rPr>
          <w:rFonts w:ascii="Arial" w:hAnsi="Arial" w:cs="Arial"/>
        </w:rPr>
        <w:t xml:space="preserve">Ensure that the entity pays adequate attention to both TVET colleges and universities in all aspects of its core business processes. </w:t>
      </w:r>
    </w:p>
    <w:p w:rsidR="00517824" w:rsidRPr="00517824" w:rsidRDefault="00517824" w:rsidP="00517824">
      <w:pPr>
        <w:numPr>
          <w:ilvl w:val="0"/>
          <w:numId w:val="15"/>
        </w:numPr>
        <w:spacing w:before="240" w:after="240" w:line="360" w:lineRule="auto"/>
        <w:contextualSpacing/>
        <w:jc w:val="both"/>
        <w:rPr>
          <w:rFonts w:ascii="Arial" w:hAnsi="Arial" w:cs="Arial"/>
        </w:rPr>
      </w:pPr>
      <w:r w:rsidRPr="00517824">
        <w:rPr>
          <w:rFonts w:ascii="Arial" w:hAnsi="Arial" w:cs="Arial"/>
        </w:rPr>
        <w:t xml:space="preserve">Maintain a close and productive working relationship between NSFAS and the universities and TVET colleges. </w:t>
      </w:r>
    </w:p>
    <w:p w:rsidR="00517824" w:rsidRPr="00517824" w:rsidRDefault="00517824" w:rsidP="00517824">
      <w:pPr>
        <w:numPr>
          <w:ilvl w:val="0"/>
          <w:numId w:val="15"/>
        </w:numPr>
        <w:spacing w:before="240" w:after="240" w:line="360" w:lineRule="auto"/>
        <w:contextualSpacing/>
        <w:jc w:val="both"/>
        <w:rPr>
          <w:rFonts w:ascii="Arial" w:hAnsi="Arial" w:cs="Arial"/>
        </w:rPr>
      </w:pPr>
      <w:r w:rsidRPr="00517824">
        <w:rPr>
          <w:rFonts w:ascii="Arial" w:hAnsi="Arial" w:cs="Arial"/>
        </w:rPr>
        <w:t>Put in place the necessary management and governance controls to ensure that all risks of the 2020 student funding cycle are appropriately managed, with the support of the Department and institutions as necessary.</w:t>
      </w:r>
    </w:p>
    <w:p w:rsidR="00517824" w:rsidRPr="00517824" w:rsidRDefault="00517824" w:rsidP="00517824">
      <w:pPr>
        <w:numPr>
          <w:ilvl w:val="0"/>
          <w:numId w:val="15"/>
        </w:numPr>
        <w:spacing w:before="240" w:after="240" w:line="360" w:lineRule="auto"/>
        <w:contextualSpacing/>
        <w:jc w:val="both"/>
        <w:rPr>
          <w:rFonts w:ascii="Arial" w:hAnsi="Arial" w:cs="Arial"/>
        </w:rPr>
      </w:pPr>
      <w:r w:rsidRPr="00517824">
        <w:rPr>
          <w:rFonts w:ascii="Arial" w:hAnsi="Arial" w:cs="Arial"/>
        </w:rPr>
        <w:t xml:space="preserve">Manage the day-to-day work of the entity and steer NSFAS to address its operational challenges fully. </w:t>
      </w:r>
    </w:p>
    <w:p w:rsidR="00517824" w:rsidRPr="00517824" w:rsidRDefault="00517824" w:rsidP="00517824">
      <w:pPr>
        <w:numPr>
          <w:ilvl w:val="0"/>
          <w:numId w:val="14"/>
        </w:numPr>
        <w:spacing w:before="240" w:after="240" w:line="360" w:lineRule="auto"/>
        <w:contextualSpacing/>
        <w:jc w:val="both"/>
        <w:rPr>
          <w:rFonts w:ascii="Arial" w:hAnsi="Arial" w:cs="Arial"/>
        </w:rPr>
      </w:pPr>
      <w:r w:rsidRPr="00517824">
        <w:rPr>
          <w:rFonts w:ascii="Arial" w:hAnsi="Arial" w:cs="Arial"/>
        </w:rPr>
        <w:t xml:space="preserve">Oversee the process of appointing new executive staff at NSFAS, in terms of a process agreed with the Department. </w:t>
      </w:r>
    </w:p>
    <w:p w:rsidR="00517824" w:rsidRPr="00517824" w:rsidRDefault="00517824" w:rsidP="00517824">
      <w:pPr>
        <w:numPr>
          <w:ilvl w:val="0"/>
          <w:numId w:val="14"/>
        </w:numPr>
        <w:spacing w:before="240" w:after="240" w:line="360" w:lineRule="auto"/>
        <w:contextualSpacing/>
        <w:jc w:val="both"/>
        <w:rPr>
          <w:rFonts w:ascii="Arial" w:hAnsi="Arial" w:cs="Arial"/>
        </w:rPr>
      </w:pPr>
      <w:r w:rsidRPr="00517824">
        <w:rPr>
          <w:rFonts w:ascii="Arial" w:hAnsi="Arial" w:cs="Arial"/>
        </w:rPr>
        <w:t>Ensure a smooth transition between the administration and the new executive staff. - Oversee all forensic and other investigations necessary for the effective operation and management of the entity and any follow up required.</w:t>
      </w:r>
    </w:p>
    <w:p w:rsidR="00517824" w:rsidRDefault="00517824" w:rsidP="00517824">
      <w:pPr>
        <w:numPr>
          <w:ilvl w:val="0"/>
          <w:numId w:val="14"/>
        </w:numPr>
        <w:spacing w:before="240" w:after="240" w:line="360" w:lineRule="auto"/>
        <w:contextualSpacing/>
        <w:jc w:val="both"/>
        <w:rPr>
          <w:rFonts w:ascii="Arial" w:hAnsi="Arial" w:cs="Arial"/>
        </w:rPr>
      </w:pPr>
      <w:r w:rsidRPr="00517824">
        <w:rPr>
          <w:rFonts w:ascii="Arial" w:hAnsi="Arial" w:cs="Arial"/>
        </w:rPr>
        <w:t>Provide support to the Ministerial Task Team appointed by the Minister.</w:t>
      </w:r>
    </w:p>
    <w:p w:rsidR="00F23F88" w:rsidRPr="00517824" w:rsidRDefault="00F23F88" w:rsidP="00F23F88">
      <w:pPr>
        <w:spacing w:before="240" w:after="240" w:line="360" w:lineRule="auto"/>
        <w:contextualSpacing/>
        <w:jc w:val="both"/>
        <w:rPr>
          <w:rFonts w:ascii="Arial" w:hAnsi="Arial" w:cs="Arial"/>
        </w:rPr>
      </w:pPr>
    </w:p>
    <w:p w:rsidR="00517824" w:rsidRPr="00517824" w:rsidRDefault="00517824" w:rsidP="00517824">
      <w:pPr>
        <w:spacing w:before="240" w:after="240" w:line="360" w:lineRule="auto"/>
        <w:ind w:left="360" w:hanging="360"/>
        <w:jc w:val="both"/>
        <w:rPr>
          <w:rFonts w:ascii="Arial" w:hAnsi="Arial" w:cs="Arial"/>
          <w:b/>
          <w:lang w:val="en-ZA"/>
        </w:rPr>
      </w:pPr>
      <w:r w:rsidRPr="00517824">
        <w:rPr>
          <w:rFonts w:ascii="Arial" w:hAnsi="Arial" w:cs="Arial"/>
        </w:rPr>
        <w:t xml:space="preserve">(3) </w:t>
      </w:r>
      <w:r w:rsidRPr="00517824">
        <w:rPr>
          <w:rFonts w:ascii="Arial" w:hAnsi="Arial" w:cs="Arial"/>
        </w:rPr>
        <w:tab/>
        <w:t>The Minister of Higher Education, Science and Innovation does not intend to extend the term of office of the Administrator</w:t>
      </w:r>
      <w:r w:rsidR="00F23F88">
        <w:rPr>
          <w:rFonts w:ascii="Arial" w:hAnsi="Arial" w:cs="Arial"/>
        </w:rPr>
        <w:t xml:space="preserve"> unless conditions dictates otherwise</w:t>
      </w:r>
      <w:r w:rsidRPr="00517824">
        <w:rPr>
          <w:rFonts w:ascii="Arial" w:hAnsi="Arial" w:cs="Arial"/>
        </w:rPr>
        <w:t>. The process to finalise the appointments of vacant senior executive management posts, including the appointment of the Executive Officer is underway. The terms of reference of the Administrator states that he must ensure a smooth transition between the administration and the new executive staff. The Minister is in the process of initiating the appointment of a new Board in terms of Section 5 of the NSFAS Act 56 of 1999.</w:t>
      </w:r>
    </w:p>
    <w:p w:rsidR="008E4A54" w:rsidRPr="00396A2E" w:rsidRDefault="008E4A54" w:rsidP="008D7358">
      <w:pPr>
        <w:spacing w:before="240" w:after="240"/>
        <w:jc w:val="center"/>
        <w:rPr>
          <w:rFonts w:ascii="Arial" w:eastAsia="Times New Roman" w:hAnsi="Arial" w:cs="Arial"/>
          <w:color w:val="000000"/>
          <w:spacing w:val="-3"/>
          <w:lang w:val="en-US" w:eastAsia="en-GB"/>
        </w:rPr>
      </w:pP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A82" w:rsidRDefault="00906A82">
      <w:pPr>
        <w:spacing w:after="0" w:line="240" w:lineRule="auto"/>
      </w:pPr>
      <w:r>
        <w:separator/>
      </w:r>
    </w:p>
  </w:endnote>
  <w:endnote w:type="continuationSeparator" w:id="0">
    <w:p w:rsidR="00906A82" w:rsidRDefault="0090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B3" w:rsidRPr="00C7359A" w:rsidRDefault="00906A82">
    <w:pPr>
      <w:pStyle w:val="Footer"/>
      <w:jc w:val="center"/>
      <w:rPr>
        <w:rFonts w:ascii="Arial" w:hAnsi="Arial" w:cs="Arial"/>
        <w:sz w:val="24"/>
        <w:szCs w:val="24"/>
      </w:rPr>
    </w:pPr>
  </w:p>
  <w:p w:rsidR="004721B3" w:rsidRDefault="00906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A82" w:rsidRDefault="00906A82">
      <w:pPr>
        <w:spacing w:after="0" w:line="240" w:lineRule="auto"/>
      </w:pPr>
      <w:r>
        <w:separator/>
      </w:r>
    </w:p>
  </w:footnote>
  <w:footnote w:type="continuationSeparator" w:id="0">
    <w:p w:rsidR="00906A82" w:rsidRDefault="00906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0727CB">
          <w:rPr>
            <w:rFonts w:ascii="Arial" w:hAnsi="Arial" w:cs="Arial"/>
            <w:noProof/>
            <w:sz w:val="24"/>
            <w:szCs w:val="24"/>
          </w:rPr>
          <w:t>1</w:t>
        </w:r>
        <w:r w:rsidRPr="00C7359A">
          <w:rPr>
            <w:rFonts w:ascii="Arial" w:hAnsi="Arial" w:cs="Arial"/>
            <w:noProof/>
            <w:sz w:val="24"/>
            <w:szCs w:val="24"/>
          </w:rPr>
          <w:fldChar w:fldCharType="end"/>
        </w:r>
      </w:p>
    </w:sdtContent>
  </w:sdt>
  <w:p w:rsidR="004721B3" w:rsidRDefault="00906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8BE"/>
    <w:multiLevelType w:val="hybridMultilevel"/>
    <w:tmpl w:val="106A1F9E"/>
    <w:lvl w:ilvl="0" w:tplc="C94C0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5" w15:restartNumberingAfterBreak="0">
    <w:nsid w:val="174850C4"/>
    <w:multiLevelType w:val="hybridMultilevel"/>
    <w:tmpl w:val="77902C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7693E"/>
    <w:multiLevelType w:val="hybridMultilevel"/>
    <w:tmpl w:val="6ED8D5E6"/>
    <w:lvl w:ilvl="0" w:tplc="70A03C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F013E"/>
    <w:multiLevelType w:val="hybridMultilevel"/>
    <w:tmpl w:val="9C4A404A"/>
    <w:lvl w:ilvl="0" w:tplc="89BC90C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38AE"/>
    <w:multiLevelType w:val="hybridMultilevel"/>
    <w:tmpl w:val="1470557C"/>
    <w:lvl w:ilvl="0" w:tplc="7736E3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
  </w:num>
  <w:num w:numId="5">
    <w:abstractNumId w:val="8"/>
  </w:num>
  <w:num w:numId="6">
    <w:abstractNumId w:val="12"/>
  </w:num>
  <w:num w:numId="7">
    <w:abstractNumId w:val="7"/>
  </w:num>
  <w:num w:numId="8">
    <w:abstractNumId w:val="3"/>
  </w:num>
  <w:num w:numId="9">
    <w:abstractNumId w:val="6"/>
  </w:num>
  <w:num w:numId="10">
    <w:abstractNumId w:val="2"/>
  </w:num>
  <w:num w:numId="11">
    <w:abstractNumId w:val="5"/>
  </w:num>
  <w:num w:numId="12">
    <w:abstractNumId w:val="0"/>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11E56"/>
    <w:rsid w:val="00020C2A"/>
    <w:rsid w:val="00033E97"/>
    <w:rsid w:val="00070FD2"/>
    <w:rsid w:val="000727CB"/>
    <w:rsid w:val="000A0CCC"/>
    <w:rsid w:val="000A10F3"/>
    <w:rsid w:val="000C2338"/>
    <w:rsid w:val="000E638A"/>
    <w:rsid w:val="00102593"/>
    <w:rsid w:val="0014455D"/>
    <w:rsid w:val="00164BCC"/>
    <w:rsid w:val="001C75E4"/>
    <w:rsid w:val="001E7552"/>
    <w:rsid w:val="001F3777"/>
    <w:rsid w:val="00242B88"/>
    <w:rsid w:val="00252F46"/>
    <w:rsid w:val="002B1BB2"/>
    <w:rsid w:val="002C0CA5"/>
    <w:rsid w:val="002D0289"/>
    <w:rsid w:val="002E0597"/>
    <w:rsid w:val="00304AAF"/>
    <w:rsid w:val="00334F6C"/>
    <w:rsid w:val="00355E4B"/>
    <w:rsid w:val="00396A2E"/>
    <w:rsid w:val="003E1C4D"/>
    <w:rsid w:val="003E5FB5"/>
    <w:rsid w:val="003E7DF4"/>
    <w:rsid w:val="00414571"/>
    <w:rsid w:val="004201AE"/>
    <w:rsid w:val="00431AEB"/>
    <w:rsid w:val="004575D5"/>
    <w:rsid w:val="00493E08"/>
    <w:rsid w:val="004A3A6B"/>
    <w:rsid w:val="004A4FF8"/>
    <w:rsid w:val="004C2600"/>
    <w:rsid w:val="004E41CF"/>
    <w:rsid w:val="00517824"/>
    <w:rsid w:val="005B69E5"/>
    <w:rsid w:val="005C492F"/>
    <w:rsid w:val="005E2763"/>
    <w:rsid w:val="005E3618"/>
    <w:rsid w:val="00607F4B"/>
    <w:rsid w:val="00617578"/>
    <w:rsid w:val="00626A6E"/>
    <w:rsid w:val="0069690D"/>
    <w:rsid w:val="007B73D3"/>
    <w:rsid w:val="007D3F06"/>
    <w:rsid w:val="008439E4"/>
    <w:rsid w:val="00870E60"/>
    <w:rsid w:val="00892509"/>
    <w:rsid w:val="008C2DEA"/>
    <w:rsid w:val="008D7358"/>
    <w:rsid w:val="008E4A54"/>
    <w:rsid w:val="00906A82"/>
    <w:rsid w:val="00967D49"/>
    <w:rsid w:val="00971486"/>
    <w:rsid w:val="009A53FD"/>
    <w:rsid w:val="009A6DEF"/>
    <w:rsid w:val="009F1D2C"/>
    <w:rsid w:val="00A0203F"/>
    <w:rsid w:val="00A171A9"/>
    <w:rsid w:val="00A54F54"/>
    <w:rsid w:val="00A80C64"/>
    <w:rsid w:val="00A96F31"/>
    <w:rsid w:val="00AF0B8D"/>
    <w:rsid w:val="00B04738"/>
    <w:rsid w:val="00B41ACB"/>
    <w:rsid w:val="00B42CEB"/>
    <w:rsid w:val="00B50624"/>
    <w:rsid w:val="00B76C8C"/>
    <w:rsid w:val="00B76E0F"/>
    <w:rsid w:val="00B90DB3"/>
    <w:rsid w:val="00BA1D82"/>
    <w:rsid w:val="00BF517C"/>
    <w:rsid w:val="00C102B8"/>
    <w:rsid w:val="00C21ACD"/>
    <w:rsid w:val="00C46EE5"/>
    <w:rsid w:val="00C838D4"/>
    <w:rsid w:val="00C85D75"/>
    <w:rsid w:val="00C871EE"/>
    <w:rsid w:val="00D055CE"/>
    <w:rsid w:val="00D44ED0"/>
    <w:rsid w:val="00D703EC"/>
    <w:rsid w:val="00D73705"/>
    <w:rsid w:val="00D9761E"/>
    <w:rsid w:val="00D977A4"/>
    <w:rsid w:val="00DA5658"/>
    <w:rsid w:val="00DB6803"/>
    <w:rsid w:val="00DC4A4F"/>
    <w:rsid w:val="00DE221F"/>
    <w:rsid w:val="00DE51AD"/>
    <w:rsid w:val="00E34181"/>
    <w:rsid w:val="00E35CA2"/>
    <w:rsid w:val="00ED6D44"/>
    <w:rsid w:val="00F0730C"/>
    <w:rsid w:val="00F22F50"/>
    <w:rsid w:val="00F23F88"/>
    <w:rsid w:val="00F83293"/>
    <w:rsid w:val="00FD5A0F"/>
    <w:rsid w:val="00FD73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Microsoft account</cp:lastModifiedBy>
  <cp:revision>2</cp:revision>
  <dcterms:created xsi:type="dcterms:W3CDTF">2020-06-03T10:38:00Z</dcterms:created>
  <dcterms:modified xsi:type="dcterms:W3CDTF">2020-06-03T10:38:00Z</dcterms:modified>
</cp:coreProperties>
</file>