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2C6D" w14:textId="5B7E14BD" w:rsidR="00886577" w:rsidRDefault="009303C1" w:rsidP="006F46CD">
      <w:pPr>
        <w:spacing w:before="240"/>
        <w:jc w:val="both"/>
        <w:rPr>
          <w:rFonts w:ascii="Times New Roman" w:hAnsi="Times New Roman" w:cs="Times New Roman"/>
          <w:b/>
          <w:bCs/>
          <w:color w:val="0070C0"/>
          <w:sz w:val="36"/>
          <w:szCs w:val="36"/>
        </w:rPr>
      </w:pPr>
      <w:r w:rsidRPr="00BF69A1">
        <w:rPr>
          <w:rFonts w:ascii="Arial" w:hAnsi="Arial" w:cs="Arial"/>
          <w:noProof/>
          <w:lang w:eastAsia="en-ZA"/>
        </w:rPr>
        <mc:AlternateContent>
          <mc:Choice Requires="wps">
            <w:drawing>
              <wp:anchor distT="0" distB="0" distL="114300" distR="114300" simplePos="0" relativeHeight="251667456" behindDoc="0" locked="0" layoutInCell="1" allowOverlap="1" wp14:anchorId="643B0509" wp14:editId="7A9FCEE2">
                <wp:simplePos x="0" y="0"/>
                <wp:positionH relativeFrom="page">
                  <wp:align>left</wp:align>
                </wp:positionH>
                <wp:positionV relativeFrom="paragraph">
                  <wp:posOffset>-917600</wp:posOffset>
                </wp:positionV>
                <wp:extent cx="7953375" cy="1485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953375" cy="1485900"/>
                        </a:xfrm>
                        <a:prstGeom prst="rect">
                          <a:avLst/>
                        </a:prstGeom>
                        <a:solidFill>
                          <a:srgbClr val="0070C0"/>
                        </a:solidFill>
                        <a:ln w="6350">
                          <a:solidFill>
                            <a:srgbClr val="0070C0"/>
                          </a:solidFill>
                        </a:ln>
                      </wps:spPr>
                      <wps:txbx>
                        <w:txbxContent>
                          <w:p w14:paraId="2CE35269" w14:textId="77777777" w:rsidR="004168D5" w:rsidRDefault="004168D5" w:rsidP="00416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B0509" id="_x0000_t202" coordsize="21600,21600" o:spt="202" path="m,l,21600r21600,l21600,xe">
                <v:stroke joinstyle="miter"/>
                <v:path gradientshapeok="t" o:connecttype="rect"/>
              </v:shapetype>
              <v:shape id="Text Box 5" o:spid="_x0000_s1026" type="#_x0000_t202" style="position:absolute;left:0;text-align:left;margin-left:0;margin-top:-72.25pt;width:626.25pt;height:11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" fillcolor="#0070c0" strokecolor="#0070c0" strokeweight=".5pt">
                <v:textbox>
                  <w:txbxContent>
                    <w:p w14:paraId="2CE35269" w14:textId="77777777" w:rsidR="004168D5" w:rsidRDefault="004168D5" w:rsidP="004168D5"/>
                  </w:txbxContent>
                </v:textbox>
                <w10:wrap anchorx="page"/>
              </v:shape>
            </w:pict>
          </mc:Fallback>
        </mc:AlternateContent>
      </w:r>
    </w:p>
    <w:p w14:paraId="0E043A1A" w14:textId="00DEF1AB" w:rsidR="00FE1AF9" w:rsidRDefault="00FE1AF9" w:rsidP="006F46CD">
      <w:pPr>
        <w:tabs>
          <w:tab w:val="left" w:pos="1005"/>
        </w:tabs>
        <w:rPr>
          <w:rFonts w:ascii="Calibri" w:hAnsi="Calibri" w:cs="Calibri"/>
          <w:b/>
          <w:bCs/>
          <w:sz w:val="36"/>
          <w:szCs w:val="36"/>
        </w:rPr>
      </w:pPr>
    </w:p>
    <w:p w14:paraId="28452D9E" w14:textId="77777777" w:rsidR="004168D5" w:rsidRPr="00BF69A1" w:rsidRDefault="004168D5" w:rsidP="004168D5">
      <w:pPr>
        <w:spacing w:after="0" w:line="276" w:lineRule="auto"/>
        <w:jc w:val="both"/>
        <w:rPr>
          <w:rFonts w:ascii="Arial" w:hAnsi="Arial" w:cs="Arial"/>
          <w:b/>
          <w:bCs/>
        </w:rPr>
      </w:pPr>
    </w:p>
    <w:p w14:paraId="00F3CF4F" w14:textId="77777777" w:rsidR="004168D5" w:rsidRPr="00BF69A1" w:rsidRDefault="004168D5" w:rsidP="004168D5">
      <w:pPr>
        <w:spacing w:after="0" w:line="276" w:lineRule="auto"/>
        <w:jc w:val="both"/>
        <w:rPr>
          <w:rFonts w:ascii="Arial" w:hAnsi="Arial" w:cs="Arial"/>
          <w:b/>
          <w:bCs/>
        </w:rPr>
      </w:pPr>
    </w:p>
    <w:p w14:paraId="0798B7FB" w14:textId="77777777" w:rsidR="004168D5" w:rsidRPr="00BF69A1" w:rsidRDefault="004168D5" w:rsidP="004168D5">
      <w:pPr>
        <w:spacing w:after="0" w:line="276" w:lineRule="auto"/>
        <w:jc w:val="both"/>
        <w:rPr>
          <w:rFonts w:ascii="Arial" w:hAnsi="Arial" w:cs="Arial"/>
        </w:rPr>
      </w:pPr>
    </w:p>
    <w:p w14:paraId="08D6D6AD" w14:textId="77777777" w:rsidR="004168D5" w:rsidRPr="00BF69A1" w:rsidRDefault="004168D5" w:rsidP="004168D5">
      <w:pPr>
        <w:spacing w:after="0" w:line="276" w:lineRule="auto"/>
        <w:jc w:val="both"/>
        <w:rPr>
          <w:rFonts w:ascii="Arial" w:hAnsi="Arial" w:cs="Arial"/>
        </w:rPr>
      </w:pPr>
      <w:r w:rsidRPr="00BF69A1">
        <w:rPr>
          <w:rFonts w:ascii="Arial" w:hAnsi="Arial" w:cs="Arial"/>
          <w:noProof/>
          <w:lang w:eastAsia="en-ZA"/>
        </w:rPr>
        <mc:AlternateContent>
          <mc:Choice Requires="wps">
            <w:drawing>
              <wp:anchor distT="0" distB="0" distL="114300" distR="114300" simplePos="0" relativeHeight="251668480" behindDoc="0" locked="0" layoutInCell="1" allowOverlap="1" wp14:anchorId="10065BF8" wp14:editId="5F02F63C">
                <wp:simplePos x="0" y="0"/>
                <wp:positionH relativeFrom="margin">
                  <wp:posOffset>1624330</wp:posOffset>
                </wp:positionH>
                <wp:positionV relativeFrom="paragraph">
                  <wp:posOffset>201133</wp:posOffset>
                </wp:positionV>
                <wp:extent cx="2483485" cy="13100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2483485" cy="1310005"/>
                        </a:xfrm>
                        <a:prstGeom prst="rect">
                          <a:avLst/>
                        </a:prstGeom>
                        <a:noFill/>
                        <a:ln w="6350">
                          <a:noFill/>
                        </a:ln>
                      </wps:spPr>
                      <wps:txbx>
                        <w:txbxContent>
                          <w:p w14:paraId="7247FD42" w14:textId="77777777" w:rsidR="004168D5" w:rsidRDefault="004168D5" w:rsidP="004168D5">
                            <w:r>
                              <w:rPr>
                                <w:noProof/>
                                <w:lang w:eastAsia="en-ZA"/>
                              </w:rPr>
                              <w:drawing>
                                <wp:inline distT="0" distB="0" distL="0" distR="0" wp14:anchorId="7C90C3C3" wp14:editId="58B2FFC8">
                                  <wp:extent cx="2291973" cy="1173707"/>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Logo-Landscape-.jpg"/>
                                          <pic:cNvPicPr/>
                                        </pic:nvPicPr>
                                        <pic:blipFill>
                                          <a:blip r:embed="rId8">
                                            <a:extLst>
                                              <a:ext uri="{28A0092B-C50C-407E-A947-70E740481C1C}">
                                                <a14:useLocalDpi xmlns:a14="http://schemas.microsoft.com/office/drawing/2010/main" val="0"/>
                                              </a:ext>
                                            </a:extLst>
                                          </a:blip>
                                          <a:stretch>
                                            <a:fillRect/>
                                          </a:stretch>
                                        </pic:blipFill>
                                        <pic:spPr>
                                          <a:xfrm>
                                            <a:off x="0" y="0"/>
                                            <a:ext cx="2304979" cy="11803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65BF8" id="Text Box 6" o:spid="_x0000_s1027" type="#_x0000_t202" style="position:absolute;left:0;text-align:left;margin-left:127.9pt;margin-top:15.85pt;width:195.55pt;height:103.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" filled="f" stroked="f" strokeweight=".5pt">
                <v:textbox>
                  <w:txbxContent>
                    <w:p w14:paraId="7247FD42" w14:textId="77777777" w:rsidR="004168D5" w:rsidRDefault="004168D5" w:rsidP="004168D5">
                      <w:r>
                        <w:rPr>
                          <w:noProof/>
                          <w:lang w:eastAsia="en-ZA"/>
                        </w:rPr>
                        <w:drawing>
                          <wp:inline distT="0" distB="0" distL="0" distR="0" wp14:anchorId="7C90C3C3" wp14:editId="58B2FFC8">
                            <wp:extent cx="2291973" cy="1173707"/>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Logo-Landscape-.jpg"/>
                                    <pic:cNvPicPr/>
                                  </pic:nvPicPr>
                                  <pic:blipFill>
                                    <a:blip r:embed="rId8">
                                      <a:extLst>
                                        <a:ext uri="{28A0092B-C50C-407E-A947-70E740481C1C}">
                                          <a14:useLocalDpi xmlns:a14="http://schemas.microsoft.com/office/drawing/2010/main" val="0"/>
                                        </a:ext>
                                      </a:extLst>
                                    </a:blip>
                                    <a:stretch>
                                      <a:fillRect/>
                                    </a:stretch>
                                  </pic:blipFill>
                                  <pic:spPr>
                                    <a:xfrm>
                                      <a:off x="0" y="0"/>
                                      <a:ext cx="2304979" cy="1180367"/>
                                    </a:xfrm>
                                    <a:prstGeom prst="rect">
                                      <a:avLst/>
                                    </a:prstGeom>
                                  </pic:spPr>
                                </pic:pic>
                              </a:graphicData>
                            </a:graphic>
                          </wp:inline>
                        </w:drawing>
                      </w:r>
                    </w:p>
                  </w:txbxContent>
                </v:textbox>
                <w10:wrap anchorx="margin"/>
              </v:shape>
            </w:pict>
          </mc:Fallback>
        </mc:AlternateContent>
      </w:r>
    </w:p>
    <w:p w14:paraId="34F6710E" w14:textId="77777777" w:rsidR="004168D5" w:rsidRPr="00BF69A1" w:rsidRDefault="004168D5" w:rsidP="004168D5">
      <w:pPr>
        <w:spacing w:after="0" w:line="276" w:lineRule="auto"/>
        <w:jc w:val="both"/>
        <w:rPr>
          <w:rFonts w:ascii="Arial" w:hAnsi="Arial" w:cs="Arial"/>
        </w:rPr>
      </w:pPr>
    </w:p>
    <w:p w14:paraId="6D5C077E" w14:textId="77777777" w:rsidR="004168D5" w:rsidRPr="00BF69A1" w:rsidRDefault="004168D5" w:rsidP="004168D5">
      <w:pPr>
        <w:spacing w:after="0" w:line="276" w:lineRule="auto"/>
        <w:jc w:val="both"/>
        <w:rPr>
          <w:rFonts w:ascii="Arial" w:hAnsi="Arial" w:cs="Arial"/>
        </w:rPr>
      </w:pPr>
    </w:p>
    <w:p w14:paraId="7E984BB4" w14:textId="77777777" w:rsidR="004168D5" w:rsidRPr="00BF69A1" w:rsidRDefault="004168D5" w:rsidP="004168D5">
      <w:pPr>
        <w:spacing w:after="0" w:line="276" w:lineRule="auto"/>
        <w:jc w:val="both"/>
        <w:rPr>
          <w:rFonts w:ascii="Arial" w:hAnsi="Arial" w:cs="Arial"/>
        </w:rPr>
      </w:pPr>
    </w:p>
    <w:p w14:paraId="339D3DFD" w14:textId="77777777" w:rsidR="004168D5" w:rsidRPr="00BF69A1" w:rsidRDefault="004168D5" w:rsidP="004168D5">
      <w:pPr>
        <w:spacing w:after="0" w:line="276" w:lineRule="auto"/>
        <w:jc w:val="both"/>
        <w:rPr>
          <w:rFonts w:ascii="Arial" w:hAnsi="Arial" w:cs="Arial"/>
        </w:rPr>
      </w:pPr>
    </w:p>
    <w:p w14:paraId="325FE7A8" w14:textId="77777777" w:rsidR="004168D5" w:rsidRPr="00BF69A1" w:rsidRDefault="004168D5" w:rsidP="004168D5">
      <w:pPr>
        <w:spacing w:after="0" w:line="276" w:lineRule="auto"/>
        <w:jc w:val="both"/>
        <w:rPr>
          <w:rFonts w:ascii="Arial" w:hAnsi="Arial" w:cs="Arial"/>
        </w:rPr>
      </w:pPr>
    </w:p>
    <w:p w14:paraId="2446DC38" w14:textId="77777777" w:rsidR="004168D5" w:rsidRPr="00BF69A1" w:rsidRDefault="004168D5" w:rsidP="004168D5">
      <w:pPr>
        <w:spacing w:after="0" w:line="276" w:lineRule="auto"/>
        <w:jc w:val="both"/>
        <w:rPr>
          <w:rFonts w:ascii="Arial" w:hAnsi="Arial" w:cs="Arial"/>
          <w:b/>
          <w:bCs/>
        </w:rPr>
      </w:pPr>
    </w:p>
    <w:p w14:paraId="4D7B0F0F" w14:textId="77777777" w:rsidR="004168D5" w:rsidRPr="00BF69A1" w:rsidRDefault="004168D5" w:rsidP="004168D5">
      <w:pPr>
        <w:spacing w:after="0" w:line="276" w:lineRule="auto"/>
        <w:jc w:val="both"/>
        <w:rPr>
          <w:rFonts w:ascii="Arial" w:hAnsi="Arial" w:cs="Arial"/>
          <w:b/>
          <w:bCs/>
        </w:rPr>
      </w:pPr>
    </w:p>
    <w:p w14:paraId="04FD8D91" w14:textId="77777777" w:rsidR="004168D5" w:rsidRPr="00BF69A1" w:rsidRDefault="004168D5" w:rsidP="004168D5">
      <w:pPr>
        <w:spacing w:after="0" w:line="276" w:lineRule="auto"/>
        <w:jc w:val="both"/>
        <w:rPr>
          <w:rFonts w:ascii="Arial" w:hAnsi="Arial" w:cs="Arial"/>
          <w:b/>
          <w:bCs/>
        </w:rPr>
      </w:pPr>
    </w:p>
    <w:p w14:paraId="0E2CA25C" w14:textId="77777777" w:rsidR="004168D5" w:rsidRPr="00BF69A1" w:rsidRDefault="004168D5" w:rsidP="004168D5">
      <w:pPr>
        <w:spacing w:after="0" w:line="276" w:lineRule="auto"/>
        <w:jc w:val="both"/>
        <w:rPr>
          <w:rFonts w:ascii="Arial" w:hAnsi="Arial" w:cs="Arial"/>
          <w:b/>
          <w:bCs/>
        </w:rPr>
      </w:pPr>
    </w:p>
    <w:p w14:paraId="615D5D1D" w14:textId="77777777" w:rsidR="004168D5" w:rsidRPr="00BF69A1" w:rsidRDefault="004168D5" w:rsidP="004168D5">
      <w:pPr>
        <w:spacing w:after="0" w:line="276" w:lineRule="auto"/>
        <w:jc w:val="both"/>
        <w:rPr>
          <w:rFonts w:ascii="Arial" w:hAnsi="Arial" w:cs="Arial"/>
          <w:b/>
          <w:bCs/>
        </w:rPr>
      </w:pPr>
    </w:p>
    <w:p w14:paraId="45B3EA63" w14:textId="5E443757" w:rsidR="004168D5" w:rsidRDefault="004168D5" w:rsidP="004168D5">
      <w:pPr>
        <w:spacing w:after="0" w:line="276" w:lineRule="auto"/>
        <w:jc w:val="both"/>
        <w:rPr>
          <w:rFonts w:ascii="Arial" w:hAnsi="Arial" w:cs="Arial"/>
          <w:b/>
          <w:bCs/>
        </w:rPr>
      </w:pPr>
    </w:p>
    <w:p w14:paraId="7A0BE08A" w14:textId="77777777" w:rsidR="009F7B7B" w:rsidRPr="00BF69A1" w:rsidRDefault="009F7B7B" w:rsidP="004168D5">
      <w:pPr>
        <w:spacing w:after="0" w:line="276" w:lineRule="auto"/>
        <w:jc w:val="both"/>
        <w:rPr>
          <w:rFonts w:ascii="Arial" w:hAnsi="Arial" w:cs="Arial"/>
          <w:b/>
          <w:bCs/>
        </w:rPr>
      </w:pPr>
    </w:p>
    <w:p w14:paraId="22339EED" w14:textId="77777777" w:rsidR="004168D5" w:rsidRPr="00BF69A1" w:rsidRDefault="004168D5" w:rsidP="004168D5">
      <w:pPr>
        <w:spacing w:after="0" w:line="276" w:lineRule="auto"/>
        <w:jc w:val="both"/>
        <w:rPr>
          <w:rFonts w:ascii="Arial" w:hAnsi="Arial" w:cs="Arial"/>
          <w:b/>
          <w:bCs/>
        </w:rPr>
      </w:pPr>
    </w:p>
    <w:p w14:paraId="31649E19" w14:textId="4624A19B" w:rsidR="004168D5" w:rsidRPr="001E040F" w:rsidRDefault="004168D5" w:rsidP="004168D5">
      <w:pPr>
        <w:spacing w:after="0" w:line="276" w:lineRule="auto"/>
        <w:jc w:val="center"/>
        <w:rPr>
          <w:rFonts w:ascii="Arial" w:hAnsi="Arial" w:cs="Arial"/>
          <w:b/>
          <w:bCs/>
          <w:sz w:val="28"/>
          <w:szCs w:val="28"/>
        </w:rPr>
      </w:pPr>
      <w:r w:rsidRPr="001E040F">
        <w:rPr>
          <w:rFonts w:ascii="Arial" w:hAnsi="Arial" w:cs="Arial"/>
          <w:b/>
          <w:bCs/>
          <w:sz w:val="28"/>
          <w:szCs w:val="28"/>
        </w:rPr>
        <w:t>Alternative Medium Term Budget Policy Statement 2022</w:t>
      </w:r>
    </w:p>
    <w:p w14:paraId="0658805E" w14:textId="672DF26B" w:rsidR="009303C1" w:rsidRDefault="009303C1" w:rsidP="004168D5">
      <w:pPr>
        <w:spacing w:after="0" w:line="276" w:lineRule="auto"/>
        <w:jc w:val="center"/>
        <w:rPr>
          <w:rFonts w:ascii="Arial" w:hAnsi="Arial" w:cs="Arial"/>
          <w:b/>
          <w:bCs/>
        </w:rPr>
      </w:pPr>
    </w:p>
    <w:p w14:paraId="68B9F133" w14:textId="77777777" w:rsidR="001E040F" w:rsidRDefault="001E040F" w:rsidP="004168D5">
      <w:pPr>
        <w:spacing w:after="0" w:line="276" w:lineRule="auto"/>
        <w:jc w:val="center"/>
        <w:rPr>
          <w:rFonts w:ascii="Arial" w:hAnsi="Arial" w:cs="Arial"/>
          <w:b/>
          <w:bCs/>
        </w:rPr>
      </w:pPr>
    </w:p>
    <w:p w14:paraId="6C0CA610" w14:textId="31F71AE9" w:rsidR="009303C1" w:rsidRPr="001E040F" w:rsidRDefault="009303C1" w:rsidP="004168D5">
      <w:pPr>
        <w:spacing w:after="0" w:line="276" w:lineRule="auto"/>
        <w:jc w:val="center"/>
        <w:rPr>
          <w:rFonts w:ascii="Arial" w:hAnsi="Arial" w:cs="Arial"/>
          <w:b/>
          <w:bCs/>
          <w:sz w:val="24"/>
          <w:szCs w:val="24"/>
        </w:rPr>
      </w:pPr>
      <w:r w:rsidRPr="001E040F">
        <w:rPr>
          <w:rFonts w:ascii="Arial" w:hAnsi="Arial" w:cs="Arial"/>
          <w:b/>
          <w:bCs/>
          <w:sz w:val="24"/>
          <w:szCs w:val="24"/>
        </w:rPr>
        <w:t>A Budget to Cut Food Prices, Fight Poverty, and Inspire Economic Growth</w:t>
      </w:r>
    </w:p>
    <w:p w14:paraId="7C12012A" w14:textId="77777777" w:rsidR="004168D5" w:rsidRPr="00BF69A1" w:rsidRDefault="004168D5" w:rsidP="004168D5">
      <w:pPr>
        <w:spacing w:after="0" w:line="276" w:lineRule="auto"/>
        <w:jc w:val="center"/>
        <w:rPr>
          <w:rFonts w:ascii="Arial" w:hAnsi="Arial" w:cs="Arial"/>
          <w:b/>
          <w:bCs/>
        </w:rPr>
      </w:pPr>
    </w:p>
    <w:p w14:paraId="59C3B186" w14:textId="77777777" w:rsidR="004168D5" w:rsidRPr="00BF69A1" w:rsidRDefault="004168D5" w:rsidP="004168D5">
      <w:pPr>
        <w:spacing w:after="0" w:line="276" w:lineRule="auto"/>
        <w:jc w:val="center"/>
        <w:rPr>
          <w:rFonts w:ascii="Arial" w:hAnsi="Arial" w:cs="Arial"/>
          <w:b/>
          <w:bCs/>
        </w:rPr>
      </w:pPr>
    </w:p>
    <w:p w14:paraId="437E58E4" w14:textId="5FD09C7A" w:rsidR="004168D5" w:rsidRDefault="004168D5" w:rsidP="004168D5">
      <w:pPr>
        <w:spacing w:after="0" w:line="276" w:lineRule="auto"/>
        <w:jc w:val="center"/>
        <w:rPr>
          <w:rFonts w:ascii="Arial" w:hAnsi="Arial" w:cs="Arial"/>
          <w:b/>
          <w:bCs/>
        </w:rPr>
      </w:pPr>
    </w:p>
    <w:p w14:paraId="610FCF35" w14:textId="368D0AC2" w:rsidR="009303C1" w:rsidRDefault="009303C1" w:rsidP="004168D5">
      <w:pPr>
        <w:spacing w:after="0" w:line="276" w:lineRule="auto"/>
        <w:jc w:val="center"/>
        <w:rPr>
          <w:rFonts w:ascii="Arial" w:hAnsi="Arial" w:cs="Arial"/>
          <w:b/>
          <w:bCs/>
        </w:rPr>
      </w:pPr>
    </w:p>
    <w:p w14:paraId="5BE27A88" w14:textId="1A83AD3E" w:rsidR="009303C1" w:rsidRDefault="009303C1" w:rsidP="004168D5">
      <w:pPr>
        <w:spacing w:after="0" w:line="276" w:lineRule="auto"/>
        <w:jc w:val="center"/>
        <w:rPr>
          <w:rFonts w:ascii="Arial" w:hAnsi="Arial" w:cs="Arial"/>
          <w:b/>
          <w:bCs/>
        </w:rPr>
      </w:pPr>
    </w:p>
    <w:p w14:paraId="4899E456" w14:textId="52D995A7" w:rsidR="009303C1" w:rsidRDefault="009303C1" w:rsidP="004168D5">
      <w:pPr>
        <w:spacing w:after="0" w:line="276" w:lineRule="auto"/>
        <w:jc w:val="center"/>
        <w:rPr>
          <w:rFonts w:ascii="Arial" w:hAnsi="Arial" w:cs="Arial"/>
          <w:b/>
          <w:bCs/>
        </w:rPr>
      </w:pPr>
    </w:p>
    <w:p w14:paraId="10533A93" w14:textId="63FADA83" w:rsidR="009303C1" w:rsidRDefault="009303C1" w:rsidP="004168D5">
      <w:pPr>
        <w:spacing w:after="0" w:line="276" w:lineRule="auto"/>
        <w:jc w:val="center"/>
        <w:rPr>
          <w:rFonts w:ascii="Arial" w:hAnsi="Arial" w:cs="Arial"/>
          <w:b/>
          <w:bCs/>
        </w:rPr>
      </w:pPr>
    </w:p>
    <w:p w14:paraId="6124FC4A" w14:textId="77777777" w:rsidR="004168D5" w:rsidRPr="00BF69A1" w:rsidRDefault="004168D5" w:rsidP="009F7B7B">
      <w:pPr>
        <w:spacing w:after="0" w:line="276" w:lineRule="auto"/>
        <w:rPr>
          <w:rFonts w:ascii="Arial" w:hAnsi="Arial" w:cs="Arial"/>
          <w:b/>
          <w:bCs/>
        </w:rPr>
      </w:pPr>
    </w:p>
    <w:p w14:paraId="62EF9E70" w14:textId="77777777" w:rsidR="004168D5" w:rsidRPr="00BF69A1" w:rsidRDefault="004168D5" w:rsidP="004168D5">
      <w:pPr>
        <w:spacing w:after="0" w:line="276" w:lineRule="auto"/>
        <w:jc w:val="center"/>
        <w:rPr>
          <w:rFonts w:ascii="Arial" w:hAnsi="Arial" w:cs="Arial"/>
          <w:b/>
          <w:bCs/>
        </w:rPr>
      </w:pPr>
      <w:r w:rsidRPr="00BF69A1">
        <w:rPr>
          <w:rFonts w:ascii="Arial" w:hAnsi="Arial" w:cs="Arial"/>
          <w:b/>
          <w:bCs/>
        </w:rPr>
        <w:t>Dr Dion George MP</w:t>
      </w:r>
    </w:p>
    <w:p w14:paraId="1D9E1CAF" w14:textId="77777777" w:rsidR="004168D5" w:rsidRPr="00BF69A1" w:rsidRDefault="004168D5" w:rsidP="004168D5">
      <w:pPr>
        <w:spacing w:after="0" w:line="276" w:lineRule="auto"/>
        <w:jc w:val="center"/>
        <w:rPr>
          <w:rFonts w:ascii="Arial" w:hAnsi="Arial" w:cs="Arial"/>
          <w:b/>
          <w:bCs/>
        </w:rPr>
      </w:pPr>
    </w:p>
    <w:p w14:paraId="55BF31ED" w14:textId="77777777" w:rsidR="004168D5" w:rsidRPr="00BF69A1" w:rsidRDefault="004168D5" w:rsidP="004168D5">
      <w:pPr>
        <w:spacing w:after="0" w:line="276" w:lineRule="auto"/>
        <w:jc w:val="center"/>
        <w:rPr>
          <w:rFonts w:ascii="Arial" w:hAnsi="Arial" w:cs="Arial"/>
        </w:rPr>
      </w:pPr>
      <w:r w:rsidRPr="00BF69A1">
        <w:rPr>
          <w:rFonts w:ascii="Arial" w:hAnsi="Arial" w:cs="Arial"/>
          <w:b/>
          <w:bCs/>
        </w:rPr>
        <w:t>DA Shadow Minister of Finance</w:t>
      </w:r>
    </w:p>
    <w:p w14:paraId="22EB2E76" w14:textId="77777777" w:rsidR="004168D5" w:rsidRPr="00BF69A1" w:rsidRDefault="004168D5" w:rsidP="004168D5">
      <w:pPr>
        <w:spacing w:after="0" w:line="276" w:lineRule="auto"/>
        <w:jc w:val="both"/>
        <w:rPr>
          <w:rFonts w:ascii="Arial" w:hAnsi="Arial" w:cs="Arial"/>
        </w:rPr>
      </w:pPr>
    </w:p>
    <w:p w14:paraId="336224C8" w14:textId="77777777" w:rsidR="004168D5" w:rsidRPr="00BF69A1" w:rsidRDefault="004168D5" w:rsidP="004168D5">
      <w:pPr>
        <w:spacing w:after="0" w:line="276" w:lineRule="auto"/>
        <w:jc w:val="both"/>
        <w:rPr>
          <w:rFonts w:ascii="Arial" w:hAnsi="Arial" w:cs="Arial"/>
        </w:rPr>
      </w:pPr>
    </w:p>
    <w:p w14:paraId="5729E42C" w14:textId="0E8ECE63" w:rsidR="004168D5" w:rsidRPr="00BF69A1" w:rsidRDefault="004168D5" w:rsidP="004168D5">
      <w:pPr>
        <w:spacing w:after="0" w:line="276" w:lineRule="auto"/>
        <w:jc w:val="both"/>
        <w:rPr>
          <w:rFonts w:ascii="Arial" w:hAnsi="Arial" w:cs="Arial"/>
        </w:rPr>
      </w:pPr>
    </w:p>
    <w:p w14:paraId="7D234BD0" w14:textId="406714CF" w:rsidR="004168D5" w:rsidRDefault="004168D5" w:rsidP="004168D5">
      <w:pPr>
        <w:spacing w:after="0" w:line="276" w:lineRule="auto"/>
        <w:jc w:val="both"/>
        <w:rPr>
          <w:rFonts w:ascii="Arial" w:hAnsi="Arial" w:cs="Arial"/>
        </w:rPr>
      </w:pPr>
    </w:p>
    <w:p w14:paraId="4D961686" w14:textId="77777777" w:rsidR="001E040F" w:rsidRPr="00BF69A1" w:rsidRDefault="001E040F" w:rsidP="004168D5">
      <w:pPr>
        <w:spacing w:after="0" w:line="276" w:lineRule="auto"/>
        <w:jc w:val="both"/>
        <w:rPr>
          <w:rFonts w:ascii="Arial" w:hAnsi="Arial" w:cs="Arial"/>
        </w:rPr>
      </w:pPr>
    </w:p>
    <w:p w14:paraId="5ADD55A6" w14:textId="77777777" w:rsidR="00A36C9E" w:rsidRDefault="00A36C9E" w:rsidP="004168D5">
      <w:pPr>
        <w:spacing w:after="0" w:line="276" w:lineRule="auto"/>
        <w:jc w:val="both"/>
        <w:rPr>
          <w:rFonts w:ascii="Arial" w:hAnsi="Arial" w:cs="Arial"/>
        </w:rPr>
      </w:pPr>
    </w:p>
    <w:p w14:paraId="4E2076FA" w14:textId="42914A54" w:rsidR="004168D5" w:rsidRPr="00BF69A1" w:rsidRDefault="004168D5" w:rsidP="004168D5">
      <w:pPr>
        <w:spacing w:after="0" w:line="276" w:lineRule="auto"/>
        <w:jc w:val="both"/>
        <w:rPr>
          <w:rFonts w:ascii="Arial" w:hAnsi="Arial" w:cs="Arial"/>
        </w:rPr>
      </w:pPr>
      <w:r w:rsidRPr="00BF69A1">
        <w:rPr>
          <w:rFonts w:ascii="Arial" w:hAnsi="Arial" w:cs="Arial"/>
          <w:noProof/>
          <w:lang w:eastAsia="en-ZA"/>
        </w:rPr>
        <mc:AlternateContent>
          <mc:Choice Requires="wps">
            <w:drawing>
              <wp:anchor distT="0" distB="0" distL="114300" distR="114300" simplePos="0" relativeHeight="251669504" behindDoc="0" locked="0" layoutInCell="1" allowOverlap="1" wp14:anchorId="0FAD3E08" wp14:editId="42BC8B4A">
                <wp:simplePos x="0" y="0"/>
                <wp:positionH relativeFrom="page">
                  <wp:posOffset>-361950</wp:posOffset>
                </wp:positionH>
                <wp:positionV relativeFrom="paragraph">
                  <wp:posOffset>301625</wp:posOffset>
                </wp:positionV>
                <wp:extent cx="7953375" cy="1485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7953375" cy="1485900"/>
                        </a:xfrm>
                        <a:prstGeom prst="rect">
                          <a:avLst/>
                        </a:prstGeom>
                        <a:solidFill>
                          <a:srgbClr val="0070C0"/>
                        </a:solidFill>
                        <a:ln w="6350">
                          <a:solidFill>
                            <a:srgbClr val="0070C0"/>
                          </a:solidFill>
                        </a:ln>
                      </wps:spPr>
                      <wps:txbx>
                        <w:txbxContent>
                          <w:p w14:paraId="660B83E1" w14:textId="77777777" w:rsidR="004168D5" w:rsidRDefault="004168D5" w:rsidP="00416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D3E08" id="Text Box 11" o:spid="_x0000_s1028" type="#_x0000_t202" style="position:absolute;left:0;text-align:left;margin-left:-28.5pt;margin-top:23.75pt;width:626.25pt;height:11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" fillcolor="#0070c0" strokecolor="#0070c0" strokeweight=".5pt">
                <v:textbox>
                  <w:txbxContent>
                    <w:p w14:paraId="660B83E1" w14:textId="77777777" w:rsidR="004168D5" w:rsidRDefault="004168D5" w:rsidP="004168D5"/>
                  </w:txbxContent>
                </v:textbox>
                <w10:wrap anchorx="page"/>
              </v:shape>
            </w:pict>
          </mc:Fallback>
        </mc:AlternateContent>
      </w:r>
    </w:p>
    <w:p w14:paraId="4E813DF2" w14:textId="6985C9F6" w:rsidR="004168D5" w:rsidRPr="00BF69A1" w:rsidRDefault="004168D5" w:rsidP="004168D5">
      <w:pPr>
        <w:spacing w:after="0" w:line="276" w:lineRule="auto"/>
        <w:jc w:val="both"/>
        <w:rPr>
          <w:rFonts w:ascii="Arial" w:hAnsi="Arial" w:cs="Arial"/>
        </w:rPr>
      </w:pPr>
    </w:p>
    <w:p w14:paraId="4F3240AF" w14:textId="77777777" w:rsidR="004168D5" w:rsidRPr="00BF69A1" w:rsidRDefault="004168D5" w:rsidP="004168D5">
      <w:pPr>
        <w:spacing w:after="0" w:line="276" w:lineRule="auto"/>
        <w:jc w:val="both"/>
        <w:rPr>
          <w:rFonts w:ascii="Arial" w:hAnsi="Arial" w:cs="Arial"/>
        </w:rPr>
      </w:pPr>
    </w:p>
    <w:p w14:paraId="5DF2B452" w14:textId="77777777" w:rsidR="004168D5" w:rsidRPr="00BF69A1" w:rsidRDefault="004168D5" w:rsidP="004168D5">
      <w:pPr>
        <w:spacing w:after="0" w:line="276" w:lineRule="auto"/>
        <w:jc w:val="both"/>
        <w:rPr>
          <w:rFonts w:ascii="Arial" w:hAnsi="Arial" w:cs="Arial"/>
          <w:b/>
          <w:bCs/>
        </w:rPr>
      </w:pPr>
    </w:p>
    <w:sdt>
      <w:sdtPr>
        <w:rPr>
          <w:rFonts w:ascii="Arial" w:eastAsiaTheme="minorHAnsi" w:hAnsi="Arial" w:cs="Arial"/>
          <w:b/>
          <w:bCs/>
          <w:color w:val="auto"/>
          <w:sz w:val="22"/>
          <w:szCs w:val="22"/>
          <w:u w:val="single"/>
          <w:lang w:val="en-GB"/>
        </w:rPr>
        <w:id w:val="613258700"/>
        <w:docPartObj>
          <w:docPartGallery w:val="Table of Contents"/>
          <w:docPartUnique/>
        </w:docPartObj>
      </w:sdtPr>
      <w:sdtEndPr>
        <w:rPr>
          <w:noProof/>
          <w:u w:val="none"/>
        </w:rPr>
      </w:sdtEndPr>
      <w:sdtContent>
        <w:p w14:paraId="42FCA73F" w14:textId="77777777" w:rsidR="004168D5" w:rsidRPr="009303C1" w:rsidRDefault="004168D5" w:rsidP="004168D5">
          <w:pPr>
            <w:pStyle w:val="TOCHeading"/>
            <w:spacing w:before="0" w:line="276" w:lineRule="auto"/>
            <w:jc w:val="center"/>
            <w:rPr>
              <w:rFonts w:ascii="Arial" w:hAnsi="Arial" w:cs="Arial"/>
              <w:b/>
              <w:bCs/>
              <w:color w:val="auto"/>
              <w:sz w:val="22"/>
              <w:szCs w:val="22"/>
              <w:u w:val="single"/>
              <w:lang w:val="en-GB"/>
            </w:rPr>
          </w:pPr>
          <w:r w:rsidRPr="009303C1">
            <w:rPr>
              <w:rFonts w:ascii="Arial" w:hAnsi="Arial" w:cs="Arial"/>
              <w:b/>
              <w:bCs/>
              <w:color w:val="auto"/>
              <w:sz w:val="22"/>
              <w:szCs w:val="22"/>
              <w:u w:val="single"/>
              <w:lang w:val="en-GB"/>
            </w:rPr>
            <w:t>Table of Contents</w:t>
          </w:r>
        </w:p>
        <w:p w14:paraId="71A90695" w14:textId="77777777" w:rsidR="004168D5" w:rsidRPr="009303C1" w:rsidRDefault="004168D5" w:rsidP="004168D5">
          <w:pPr>
            <w:spacing w:after="0" w:line="276" w:lineRule="auto"/>
            <w:jc w:val="both"/>
            <w:rPr>
              <w:rFonts w:ascii="Arial" w:hAnsi="Arial" w:cs="Arial"/>
              <w:lang w:val="en-GB"/>
            </w:rPr>
          </w:pPr>
        </w:p>
        <w:p w14:paraId="7C6E7524" w14:textId="74F6D9F8" w:rsidR="004168D5" w:rsidRPr="009303C1" w:rsidRDefault="004168D5" w:rsidP="004168D5">
          <w:pPr>
            <w:pStyle w:val="TOC1"/>
            <w:rPr>
              <w:rStyle w:val="Hyperlink"/>
              <w:lang w:val="en-GB"/>
            </w:rPr>
          </w:pPr>
          <w:r w:rsidRPr="009303C1">
            <w:rPr>
              <w:lang w:val="en-GB"/>
            </w:rPr>
            <w:fldChar w:fldCharType="begin"/>
          </w:r>
          <w:r w:rsidRPr="009303C1">
            <w:rPr>
              <w:lang w:val="en-GB"/>
            </w:rPr>
            <w:instrText xml:space="preserve"> TOC \o "1-3" \h \z \u </w:instrText>
          </w:r>
          <w:r w:rsidRPr="009303C1">
            <w:rPr>
              <w:lang w:val="en-GB"/>
            </w:rPr>
            <w:fldChar w:fldCharType="separate"/>
          </w:r>
          <w:hyperlink w:anchor="_Toc116638082" w:history="1">
            <w:r w:rsidRPr="009303C1">
              <w:rPr>
                <w:rStyle w:val="Hyperlink"/>
                <w:b/>
                <w:bCs/>
                <w:lang w:val="en-GB"/>
              </w:rPr>
              <w:t>1.</w:t>
            </w:r>
            <w:r w:rsidRPr="009303C1">
              <w:rPr>
                <w:lang w:val="en-GB" w:eastAsia="en-ZA"/>
              </w:rPr>
              <w:tab/>
            </w:r>
            <w:r w:rsidRPr="009303C1">
              <w:rPr>
                <w:rStyle w:val="Hyperlink"/>
                <w:b/>
                <w:bCs/>
                <w:shd w:val="clear" w:color="auto" w:fill="FFFFFF"/>
                <w:lang w:val="en-GB"/>
              </w:rPr>
              <w:t>Introduction</w:t>
            </w:r>
            <w:r w:rsidRPr="009303C1">
              <w:rPr>
                <w:b/>
                <w:bCs/>
                <w:webHidden/>
                <w:lang w:val="en-GB"/>
              </w:rPr>
              <w:tab/>
            </w:r>
            <w:r w:rsidRPr="009303C1">
              <w:rPr>
                <w:b/>
                <w:bCs/>
                <w:webHidden/>
                <w:lang w:val="en-GB"/>
              </w:rPr>
              <w:fldChar w:fldCharType="begin"/>
            </w:r>
            <w:r w:rsidRPr="009303C1">
              <w:rPr>
                <w:b/>
                <w:bCs/>
                <w:webHidden/>
                <w:lang w:val="en-GB"/>
              </w:rPr>
              <w:instrText xml:space="preserve"> PAGEREF _Toc116638082 \h </w:instrText>
            </w:r>
            <w:r w:rsidRPr="009303C1">
              <w:rPr>
                <w:b/>
                <w:bCs/>
                <w:webHidden/>
                <w:lang w:val="en-GB"/>
              </w:rPr>
            </w:r>
            <w:r w:rsidRPr="009303C1">
              <w:rPr>
                <w:b/>
                <w:bCs/>
                <w:webHidden/>
                <w:lang w:val="en-GB"/>
              </w:rPr>
              <w:fldChar w:fldCharType="separate"/>
            </w:r>
            <w:r w:rsidR="00A664A7">
              <w:rPr>
                <w:b/>
                <w:bCs/>
                <w:webHidden/>
                <w:lang w:val="en-GB"/>
              </w:rPr>
              <w:t>2</w:t>
            </w:r>
            <w:r w:rsidRPr="009303C1">
              <w:rPr>
                <w:b/>
                <w:bCs/>
                <w:webHidden/>
                <w:lang w:val="en-GB"/>
              </w:rPr>
              <w:fldChar w:fldCharType="end"/>
            </w:r>
          </w:hyperlink>
        </w:p>
        <w:p w14:paraId="3490DF63" w14:textId="77777777" w:rsidR="004168D5" w:rsidRPr="009303C1" w:rsidRDefault="004168D5" w:rsidP="004168D5">
          <w:pPr>
            <w:spacing w:after="0" w:line="276" w:lineRule="auto"/>
            <w:jc w:val="both"/>
            <w:rPr>
              <w:rFonts w:ascii="Arial" w:hAnsi="Arial" w:cs="Arial"/>
              <w:noProof/>
              <w:lang w:val="en-GB"/>
            </w:rPr>
          </w:pPr>
        </w:p>
        <w:p w14:paraId="34D6B5CD" w14:textId="77777777" w:rsidR="004168D5" w:rsidRPr="009303C1" w:rsidRDefault="004168D5" w:rsidP="004168D5">
          <w:pPr>
            <w:spacing w:after="0" w:line="276" w:lineRule="auto"/>
            <w:jc w:val="both"/>
            <w:rPr>
              <w:rFonts w:ascii="Arial" w:hAnsi="Arial" w:cs="Arial"/>
              <w:noProof/>
              <w:lang w:val="en-GB"/>
            </w:rPr>
          </w:pPr>
        </w:p>
        <w:p w14:paraId="2C095556" w14:textId="14BC1E4F" w:rsidR="004168D5" w:rsidRPr="009303C1" w:rsidRDefault="00000000" w:rsidP="004168D5">
          <w:pPr>
            <w:pStyle w:val="TOC1"/>
            <w:rPr>
              <w:lang w:val="en-GB"/>
            </w:rPr>
          </w:pPr>
          <w:hyperlink w:anchor="_Toc116638083" w:history="1">
            <w:r w:rsidR="004168D5" w:rsidRPr="009303C1">
              <w:rPr>
                <w:rStyle w:val="Hyperlink"/>
                <w:b/>
                <w:bCs/>
                <w:lang w:val="en-GB"/>
              </w:rPr>
              <w:t>2.</w:t>
            </w:r>
            <w:r w:rsidR="004168D5" w:rsidRPr="009303C1">
              <w:rPr>
                <w:lang w:val="en-GB" w:eastAsia="en-ZA"/>
              </w:rPr>
              <w:tab/>
            </w:r>
            <w:r w:rsidR="004168D5" w:rsidRPr="009303C1">
              <w:rPr>
                <w:rStyle w:val="Hyperlink"/>
                <w:b/>
                <w:bCs/>
                <w:lang w:val="en-GB"/>
              </w:rPr>
              <w:t>Establish a Base for Resilient Economic Growth</w:t>
            </w:r>
            <w:r w:rsidR="004168D5" w:rsidRPr="009303C1">
              <w:rPr>
                <w:b/>
                <w:bCs/>
                <w:webHidden/>
                <w:lang w:val="en-GB"/>
              </w:rPr>
              <w:tab/>
            </w:r>
            <w:r w:rsidR="004168D5" w:rsidRPr="009303C1">
              <w:rPr>
                <w:b/>
                <w:bCs/>
                <w:webHidden/>
                <w:lang w:val="en-GB"/>
              </w:rPr>
              <w:fldChar w:fldCharType="begin"/>
            </w:r>
            <w:r w:rsidR="004168D5" w:rsidRPr="009303C1">
              <w:rPr>
                <w:b/>
                <w:bCs/>
                <w:webHidden/>
                <w:lang w:val="en-GB"/>
              </w:rPr>
              <w:instrText xml:space="preserve"> PAGEREF _Toc116638083 \h </w:instrText>
            </w:r>
            <w:r w:rsidR="004168D5" w:rsidRPr="009303C1">
              <w:rPr>
                <w:b/>
                <w:bCs/>
                <w:webHidden/>
                <w:lang w:val="en-GB"/>
              </w:rPr>
            </w:r>
            <w:r w:rsidR="004168D5" w:rsidRPr="009303C1">
              <w:rPr>
                <w:b/>
                <w:bCs/>
                <w:webHidden/>
                <w:lang w:val="en-GB"/>
              </w:rPr>
              <w:fldChar w:fldCharType="separate"/>
            </w:r>
            <w:r w:rsidR="00A664A7">
              <w:rPr>
                <w:b/>
                <w:bCs/>
                <w:webHidden/>
                <w:lang w:val="en-GB"/>
              </w:rPr>
              <w:t>3</w:t>
            </w:r>
            <w:r w:rsidR="004168D5" w:rsidRPr="009303C1">
              <w:rPr>
                <w:b/>
                <w:bCs/>
                <w:webHidden/>
                <w:lang w:val="en-GB"/>
              </w:rPr>
              <w:fldChar w:fldCharType="end"/>
            </w:r>
          </w:hyperlink>
        </w:p>
        <w:p w14:paraId="7D1B923D" w14:textId="26138056" w:rsidR="004168D5" w:rsidRPr="009303C1" w:rsidRDefault="00000000" w:rsidP="004168D5">
          <w:pPr>
            <w:pStyle w:val="TOC2"/>
            <w:tabs>
              <w:tab w:val="left" w:pos="880"/>
              <w:tab w:val="right" w:leader="dot" w:pos="9016"/>
            </w:tabs>
            <w:spacing w:after="0" w:line="276" w:lineRule="auto"/>
            <w:jc w:val="both"/>
            <w:rPr>
              <w:rFonts w:ascii="Arial" w:hAnsi="Arial" w:cs="Arial"/>
              <w:noProof/>
              <w:lang w:val="en-GB" w:eastAsia="en-ZA"/>
            </w:rPr>
          </w:pPr>
          <w:hyperlink w:anchor="_Toc116638084" w:history="1">
            <w:r w:rsidR="004168D5" w:rsidRPr="009303C1">
              <w:rPr>
                <w:rStyle w:val="Hyperlink"/>
                <w:rFonts w:ascii="Arial" w:hAnsi="Arial" w:cs="Arial"/>
                <w:noProof/>
                <w:lang w:val="en-GB"/>
              </w:rPr>
              <w:t xml:space="preserve">2.1. </w:t>
            </w:r>
            <w:r w:rsidR="004168D5" w:rsidRPr="009303C1">
              <w:rPr>
                <w:rFonts w:ascii="Arial" w:hAnsi="Arial" w:cs="Arial"/>
                <w:noProof/>
                <w:lang w:val="en-GB" w:eastAsia="en-ZA"/>
              </w:rPr>
              <w:tab/>
            </w:r>
            <w:r w:rsidR="004168D5" w:rsidRPr="009303C1">
              <w:rPr>
                <w:rStyle w:val="Hyperlink"/>
                <w:rFonts w:ascii="Arial" w:hAnsi="Arial" w:cs="Arial"/>
                <w:noProof/>
                <w:lang w:val="en-GB"/>
              </w:rPr>
              <w:t>No More Bailouts for State-Owned Entities (SOE’s)</w:t>
            </w:r>
            <w:r w:rsidR="004168D5" w:rsidRPr="009303C1">
              <w:rPr>
                <w:rFonts w:ascii="Arial" w:hAnsi="Arial" w:cs="Arial"/>
                <w:noProof/>
                <w:webHidden/>
                <w:lang w:val="en-GB"/>
              </w:rPr>
              <w:tab/>
            </w:r>
            <w:r w:rsidR="004168D5" w:rsidRPr="009303C1">
              <w:rPr>
                <w:rFonts w:ascii="Arial" w:hAnsi="Arial" w:cs="Arial"/>
                <w:noProof/>
                <w:webHidden/>
                <w:lang w:val="en-GB"/>
              </w:rPr>
              <w:fldChar w:fldCharType="begin"/>
            </w:r>
            <w:r w:rsidR="004168D5" w:rsidRPr="009303C1">
              <w:rPr>
                <w:rFonts w:ascii="Arial" w:hAnsi="Arial" w:cs="Arial"/>
                <w:noProof/>
                <w:webHidden/>
                <w:lang w:val="en-GB"/>
              </w:rPr>
              <w:instrText xml:space="preserve"> PAGEREF _Toc116638084 \h </w:instrText>
            </w:r>
            <w:r w:rsidR="004168D5" w:rsidRPr="009303C1">
              <w:rPr>
                <w:rFonts w:ascii="Arial" w:hAnsi="Arial" w:cs="Arial"/>
                <w:noProof/>
                <w:webHidden/>
                <w:lang w:val="en-GB"/>
              </w:rPr>
            </w:r>
            <w:r w:rsidR="004168D5" w:rsidRPr="009303C1">
              <w:rPr>
                <w:rFonts w:ascii="Arial" w:hAnsi="Arial" w:cs="Arial"/>
                <w:noProof/>
                <w:webHidden/>
                <w:lang w:val="en-GB"/>
              </w:rPr>
              <w:fldChar w:fldCharType="separate"/>
            </w:r>
            <w:r w:rsidR="00A664A7">
              <w:rPr>
                <w:rFonts w:ascii="Arial" w:hAnsi="Arial" w:cs="Arial"/>
                <w:noProof/>
                <w:webHidden/>
                <w:lang w:val="en-GB"/>
              </w:rPr>
              <w:t>4</w:t>
            </w:r>
            <w:r w:rsidR="004168D5" w:rsidRPr="009303C1">
              <w:rPr>
                <w:rFonts w:ascii="Arial" w:hAnsi="Arial" w:cs="Arial"/>
                <w:noProof/>
                <w:webHidden/>
                <w:lang w:val="en-GB"/>
              </w:rPr>
              <w:fldChar w:fldCharType="end"/>
            </w:r>
          </w:hyperlink>
        </w:p>
        <w:p w14:paraId="25C631BC" w14:textId="0E615629" w:rsidR="004168D5" w:rsidRPr="009303C1" w:rsidRDefault="00000000" w:rsidP="004168D5">
          <w:pPr>
            <w:pStyle w:val="TOC2"/>
            <w:tabs>
              <w:tab w:val="left" w:pos="880"/>
              <w:tab w:val="right" w:leader="dot" w:pos="9016"/>
            </w:tabs>
            <w:spacing w:after="0" w:line="276" w:lineRule="auto"/>
            <w:jc w:val="both"/>
            <w:rPr>
              <w:rFonts w:ascii="Arial" w:hAnsi="Arial" w:cs="Arial"/>
              <w:noProof/>
              <w:lang w:val="en-GB" w:eastAsia="en-ZA"/>
            </w:rPr>
          </w:pPr>
          <w:hyperlink w:anchor="_Toc116638085" w:history="1">
            <w:r w:rsidR="004168D5" w:rsidRPr="009303C1">
              <w:rPr>
                <w:rStyle w:val="Hyperlink"/>
                <w:rFonts w:ascii="Arial" w:hAnsi="Arial" w:cs="Arial"/>
                <w:noProof/>
                <w:lang w:val="en-GB"/>
              </w:rPr>
              <w:t xml:space="preserve">2.2. </w:t>
            </w:r>
            <w:r w:rsidR="004168D5" w:rsidRPr="009303C1">
              <w:rPr>
                <w:rFonts w:ascii="Arial" w:hAnsi="Arial" w:cs="Arial"/>
                <w:noProof/>
                <w:lang w:val="en-GB" w:eastAsia="en-ZA"/>
              </w:rPr>
              <w:tab/>
            </w:r>
            <w:r w:rsidR="004168D5" w:rsidRPr="009303C1">
              <w:rPr>
                <w:rStyle w:val="Hyperlink"/>
                <w:rFonts w:ascii="Arial" w:hAnsi="Arial" w:cs="Arial"/>
                <w:noProof/>
                <w:lang w:val="en-GB"/>
              </w:rPr>
              <w:t>Energy Security and Loadshedding</w:t>
            </w:r>
            <w:r w:rsidR="004168D5" w:rsidRPr="009303C1">
              <w:rPr>
                <w:rFonts w:ascii="Arial" w:hAnsi="Arial" w:cs="Arial"/>
                <w:noProof/>
                <w:webHidden/>
                <w:lang w:val="en-GB"/>
              </w:rPr>
              <w:tab/>
            </w:r>
            <w:r w:rsidR="004168D5" w:rsidRPr="009303C1">
              <w:rPr>
                <w:rFonts w:ascii="Arial" w:hAnsi="Arial" w:cs="Arial"/>
                <w:noProof/>
                <w:webHidden/>
                <w:lang w:val="en-GB"/>
              </w:rPr>
              <w:fldChar w:fldCharType="begin"/>
            </w:r>
            <w:r w:rsidR="004168D5" w:rsidRPr="009303C1">
              <w:rPr>
                <w:rFonts w:ascii="Arial" w:hAnsi="Arial" w:cs="Arial"/>
                <w:noProof/>
                <w:webHidden/>
                <w:lang w:val="en-GB"/>
              </w:rPr>
              <w:instrText xml:space="preserve"> PAGEREF _Toc116638085 \h </w:instrText>
            </w:r>
            <w:r w:rsidR="004168D5" w:rsidRPr="009303C1">
              <w:rPr>
                <w:rFonts w:ascii="Arial" w:hAnsi="Arial" w:cs="Arial"/>
                <w:noProof/>
                <w:webHidden/>
                <w:lang w:val="en-GB"/>
              </w:rPr>
            </w:r>
            <w:r w:rsidR="004168D5" w:rsidRPr="009303C1">
              <w:rPr>
                <w:rFonts w:ascii="Arial" w:hAnsi="Arial" w:cs="Arial"/>
                <w:noProof/>
                <w:webHidden/>
                <w:lang w:val="en-GB"/>
              </w:rPr>
              <w:fldChar w:fldCharType="separate"/>
            </w:r>
            <w:r w:rsidR="00A664A7">
              <w:rPr>
                <w:rFonts w:ascii="Arial" w:hAnsi="Arial" w:cs="Arial"/>
                <w:noProof/>
                <w:webHidden/>
                <w:lang w:val="en-GB"/>
              </w:rPr>
              <w:t>5</w:t>
            </w:r>
            <w:r w:rsidR="004168D5" w:rsidRPr="009303C1">
              <w:rPr>
                <w:rFonts w:ascii="Arial" w:hAnsi="Arial" w:cs="Arial"/>
                <w:noProof/>
                <w:webHidden/>
                <w:lang w:val="en-GB"/>
              </w:rPr>
              <w:fldChar w:fldCharType="end"/>
            </w:r>
          </w:hyperlink>
        </w:p>
        <w:p w14:paraId="3F6ED1A3" w14:textId="0EBFE2BF" w:rsidR="004168D5" w:rsidRPr="009303C1" w:rsidRDefault="00000000" w:rsidP="004168D5">
          <w:pPr>
            <w:pStyle w:val="TOC2"/>
            <w:tabs>
              <w:tab w:val="left" w:pos="880"/>
              <w:tab w:val="right" w:leader="dot" w:pos="9016"/>
            </w:tabs>
            <w:spacing w:after="0" w:line="276" w:lineRule="auto"/>
            <w:jc w:val="both"/>
            <w:rPr>
              <w:rStyle w:val="Hyperlink"/>
              <w:rFonts w:ascii="Arial" w:hAnsi="Arial" w:cs="Arial"/>
              <w:noProof/>
              <w:lang w:val="en-GB"/>
            </w:rPr>
          </w:pPr>
          <w:hyperlink w:anchor="_Toc116638086" w:history="1">
            <w:r w:rsidR="004168D5" w:rsidRPr="009303C1">
              <w:rPr>
                <w:rStyle w:val="Hyperlink"/>
                <w:rFonts w:ascii="Arial" w:hAnsi="Arial" w:cs="Arial"/>
                <w:noProof/>
                <w:lang w:val="en-GB"/>
              </w:rPr>
              <w:t>2.3.</w:t>
            </w:r>
            <w:r w:rsidR="004168D5" w:rsidRPr="009303C1">
              <w:rPr>
                <w:rFonts w:ascii="Arial" w:hAnsi="Arial" w:cs="Arial"/>
                <w:noProof/>
                <w:lang w:val="en-GB" w:eastAsia="en-ZA"/>
              </w:rPr>
              <w:tab/>
            </w:r>
            <w:r w:rsidR="004168D5" w:rsidRPr="009303C1">
              <w:rPr>
                <w:rStyle w:val="Hyperlink"/>
                <w:rFonts w:ascii="Arial" w:hAnsi="Arial" w:cs="Arial"/>
                <w:noProof/>
                <w:lang w:val="en-GB"/>
              </w:rPr>
              <w:t>BBBEE (Broad Based Black Economic Empowerment) As a Failed Policy</w:t>
            </w:r>
            <w:r w:rsidR="004168D5" w:rsidRPr="009303C1">
              <w:rPr>
                <w:rFonts w:ascii="Arial" w:hAnsi="Arial" w:cs="Arial"/>
                <w:noProof/>
                <w:webHidden/>
                <w:lang w:val="en-GB"/>
              </w:rPr>
              <w:tab/>
            </w:r>
            <w:r w:rsidR="004168D5" w:rsidRPr="009303C1">
              <w:rPr>
                <w:rFonts w:ascii="Arial" w:hAnsi="Arial" w:cs="Arial"/>
                <w:noProof/>
                <w:webHidden/>
                <w:lang w:val="en-GB"/>
              </w:rPr>
              <w:fldChar w:fldCharType="begin"/>
            </w:r>
            <w:r w:rsidR="004168D5" w:rsidRPr="009303C1">
              <w:rPr>
                <w:rFonts w:ascii="Arial" w:hAnsi="Arial" w:cs="Arial"/>
                <w:noProof/>
                <w:webHidden/>
                <w:lang w:val="en-GB"/>
              </w:rPr>
              <w:instrText xml:space="preserve"> PAGEREF _Toc116638086 \h </w:instrText>
            </w:r>
            <w:r w:rsidR="004168D5" w:rsidRPr="009303C1">
              <w:rPr>
                <w:rFonts w:ascii="Arial" w:hAnsi="Arial" w:cs="Arial"/>
                <w:noProof/>
                <w:webHidden/>
                <w:lang w:val="en-GB"/>
              </w:rPr>
            </w:r>
            <w:r w:rsidR="004168D5" w:rsidRPr="009303C1">
              <w:rPr>
                <w:rFonts w:ascii="Arial" w:hAnsi="Arial" w:cs="Arial"/>
                <w:noProof/>
                <w:webHidden/>
                <w:lang w:val="en-GB"/>
              </w:rPr>
              <w:fldChar w:fldCharType="separate"/>
            </w:r>
            <w:r w:rsidR="00A664A7">
              <w:rPr>
                <w:rFonts w:ascii="Arial" w:hAnsi="Arial" w:cs="Arial"/>
                <w:noProof/>
                <w:webHidden/>
                <w:lang w:val="en-GB"/>
              </w:rPr>
              <w:t>6</w:t>
            </w:r>
            <w:r w:rsidR="004168D5" w:rsidRPr="009303C1">
              <w:rPr>
                <w:rFonts w:ascii="Arial" w:hAnsi="Arial" w:cs="Arial"/>
                <w:noProof/>
                <w:webHidden/>
                <w:lang w:val="en-GB"/>
              </w:rPr>
              <w:fldChar w:fldCharType="end"/>
            </w:r>
          </w:hyperlink>
        </w:p>
        <w:p w14:paraId="196D39FA" w14:textId="77777777" w:rsidR="004168D5" w:rsidRPr="009303C1" w:rsidRDefault="004168D5" w:rsidP="004168D5">
          <w:pPr>
            <w:spacing w:after="0" w:line="276" w:lineRule="auto"/>
            <w:jc w:val="both"/>
            <w:rPr>
              <w:rFonts w:ascii="Arial" w:hAnsi="Arial" w:cs="Arial"/>
              <w:noProof/>
              <w:lang w:val="en-GB"/>
            </w:rPr>
          </w:pPr>
        </w:p>
        <w:p w14:paraId="0E55E48B" w14:textId="77777777" w:rsidR="004168D5" w:rsidRPr="009303C1" w:rsidRDefault="004168D5" w:rsidP="004168D5">
          <w:pPr>
            <w:spacing w:after="0" w:line="276" w:lineRule="auto"/>
            <w:jc w:val="both"/>
            <w:rPr>
              <w:rFonts w:ascii="Arial" w:hAnsi="Arial" w:cs="Arial"/>
              <w:noProof/>
              <w:lang w:val="en-GB"/>
            </w:rPr>
          </w:pPr>
        </w:p>
        <w:p w14:paraId="102D6F3B" w14:textId="78B6C241" w:rsidR="004168D5" w:rsidRPr="009303C1" w:rsidRDefault="00000000" w:rsidP="004168D5">
          <w:pPr>
            <w:pStyle w:val="TOC1"/>
            <w:rPr>
              <w:lang w:val="en-GB" w:eastAsia="en-ZA"/>
            </w:rPr>
          </w:pPr>
          <w:hyperlink w:anchor="_Toc116638087" w:history="1">
            <w:r w:rsidR="004168D5" w:rsidRPr="009303C1">
              <w:rPr>
                <w:rStyle w:val="Hyperlink"/>
                <w:b/>
                <w:bCs/>
                <w:lang w:val="en-GB"/>
              </w:rPr>
              <w:t>3.</w:t>
            </w:r>
            <w:r w:rsidR="004168D5" w:rsidRPr="009303C1">
              <w:rPr>
                <w:lang w:val="en-GB" w:eastAsia="en-ZA"/>
              </w:rPr>
              <w:tab/>
            </w:r>
            <w:r w:rsidR="004168D5" w:rsidRPr="009303C1">
              <w:rPr>
                <w:rStyle w:val="Hyperlink"/>
                <w:b/>
                <w:bCs/>
                <w:lang w:val="en-GB"/>
              </w:rPr>
              <w:t>Reducing Gross National Debt and Managing Expenditure</w:t>
            </w:r>
            <w:r w:rsidR="004168D5" w:rsidRPr="009303C1">
              <w:rPr>
                <w:b/>
                <w:bCs/>
                <w:webHidden/>
                <w:lang w:val="en-GB"/>
              </w:rPr>
              <w:tab/>
            </w:r>
            <w:r w:rsidR="004168D5" w:rsidRPr="009303C1">
              <w:rPr>
                <w:b/>
                <w:bCs/>
                <w:webHidden/>
                <w:lang w:val="en-GB"/>
              </w:rPr>
              <w:fldChar w:fldCharType="begin"/>
            </w:r>
            <w:r w:rsidR="004168D5" w:rsidRPr="009303C1">
              <w:rPr>
                <w:b/>
                <w:bCs/>
                <w:webHidden/>
                <w:lang w:val="en-GB"/>
              </w:rPr>
              <w:instrText xml:space="preserve"> PAGEREF _Toc116638087 \h </w:instrText>
            </w:r>
            <w:r w:rsidR="004168D5" w:rsidRPr="009303C1">
              <w:rPr>
                <w:b/>
                <w:bCs/>
                <w:webHidden/>
                <w:lang w:val="en-GB"/>
              </w:rPr>
            </w:r>
            <w:r w:rsidR="004168D5" w:rsidRPr="009303C1">
              <w:rPr>
                <w:b/>
                <w:bCs/>
                <w:webHidden/>
                <w:lang w:val="en-GB"/>
              </w:rPr>
              <w:fldChar w:fldCharType="separate"/>
            </w:r>
            <w:r w:rsidR="00A664A7">
              <w:rPr>
                <w:b/>
                <w:bCs/>
                <w:webHidden/>
                <w:lang w:val="en-GB"/>
              </w:rPr>
              <w:t>6</w:t>
            </w:r>
            <w:r w:rsidR="004168D5" w:rsidRPr="009303C1">
              <w:rPr>
                <w:b/>
                <w:bCs/>
                <w:webHidden/>
                <w:lang w:val="en-GB"/>
              </w:rPr>
              <w:fldChar w:fldCharType="end"/>
            </w:r>
          </w:hyperlink>
        </w:p>
        <w:p w14:paraId="3A10EFE5" w14:textId="44D36312" w:rsidR="004168D5" w:rsidRPr="009303C1" w:rsidRDefault="00000000" w:rsidP="004168D5">
          <w:pPr>
            <w:pStyle w:val="TOC2"/>
            <w:tabs>
              <w:tab w:val="right" w:leader="dot" w:pos="9016"/>
            </w:tabs>
            <w:spacing w:after="0" w:line="276" w:lineRule="auto"/>
            <w:jc w:val="both"/>
            <w:rPr>
              <w:rFonts w:ascii="Arial" w:hAnsi="Arial" w:cs="Arial"/>
              <w:noProof/>
              <w:lang w:val="en-GB" w:eastAsia="en-ZA"/>
            </w:rPr>
          </w:pPr>
          <w:hyperlink w:anchor="_Toc116638088" w:history="1">
            <w:r w:rsidR="004168D5" w:rsidRPr="009303C1">
              <w:rPr>
                <w:rStyle w:val="Hyperlink"/>
                <w:rFonts w:ascii="Arial" w:eastAsia="Times New Roman" w:hAnsi="Arial" w:cs="Arial"/>
                <w:noProof/>
                <w:lang w:val="en-GB" w:eastAsia="en-GB"/>
              </w:rPr>
              <w:t>3.1.     Government Debt</w:t>
            </w:r>
            <w:r w:rsidR="004168D5" w:rsidRPr="009303C1">
              <w:rPr>
                <w:rFonts w:ascii="Arial" w:hAnsi="Arial" w:cs="Arial"/>
                <w:noProof/>
                <w:webHidden/>
                <w:lang w:val="en-GB"/>
              </w:rPr>
              <w:tab/>
            </w:r>
            <w:r w:rsidR="004168D5" w:rsidRPr="009303C1">
              <w:rPr>
                <w:rFonts w:ascii="Arial" w:hAnsi="Arial" w:cs="Arial"/>
                <w:noProof/>
                <w:webHidden/>
                <w:lang w:val="en-GB"/>
              </w:rPr>
              <w:fldChar w:fldCharType="begin"/>
            </w:r>
            <w:r w:rsidR="004168D5" w:rsidRPr="009303C1">
              <w:rPr>
                <w:rFonts w:ascii="Arial" w:hAnsi="Arial" w:cs="Arial"/>
                <w:noProof/>
                <w:webHidden/>
                <w:lang w:val="en-GB"/>
              </w:rPr>
              <w:instrText xml:space="preserve"> PAGEREF _Toc116638088 \h </w:instrText>
            </w:r>
            <w:r w:rsidR="004168D5" w:rsidRPr="009303C1">
              <w:rPr>
                <w:rFonts w:ascii="Arial" w:hAnsi="Arial" w:cs="Arial"/>
                <w:noProof/>
                <w:webHidden/>
                <w:lang w:val="en-GB"/>
              </w:rPr>
            </w:r>
            <w:r w:rsidR="004168D5" w:rsidRPr="009303C1">
              <w:rPr>
                <w:rFonts w:ascii="Arial" w:hAnsi="Arial" w:cs="Arial"/>
                <w:noProof/>
                <w:webHidden/>
                <w:lang w:val="en-GB"/>
              </w:rPr>
              <w:fldChar w:fldCharType="separate"/>
            </w:r>
            <w:r w:rsidR="00A664A7">
              <w:rPr>
                <w:rFonts w:ascii="Arial" w:hAnsi="Arial" w:cs="Arial"/>
                <w:noProof/>
                <w:webHidden/>
                <w:lang w:val="en-GB"/>
              </w:rPr>
              <w:t>7</w:t>
            </w:r>
            <w:r w:rsidR="004168D5" w:rsidRPr="009303C1">
              <w:rPr>
                <w:rFonts w:ascii="Arial" w:hAnsi="Arial" w:cs="Arial"/>
                <w:noProof/>
                <w:webHidden/>
                <w:lang w:val="en-GB"/>
              </w:rPr>
              <w:fldChar w:fldCharType="end"/>
            </w:r>
          </w:hyperlink>
        </w:p>
        <w:p w14:paraId="36CFE647" w14:textId="34935DAE" w:rsidR="004168D5" w:rsidRPr="009303C1" w:rsidRDefault="00000000" w:rsidP="004168D5">
          <w:pPr>
            <w:pStyle w:val="TOC2"/>
            <w:tabs>
              <w:tab w:val="right" w:leader="dot" w:pos="9016"/>
            </w:tabs>
            <w:spacing w:after="0" w:line="276" w:lineRule="auto"/>
            <w:jc w:val="both"/>
            <w:rPr>
              <w:rFonts w:ascii="Arial" w:hAnsi="Arial" w:cs="Arial"/>
              <w:noProof/>
              <w:lang w:val="en-GB" w:eastAsia="en-ZA"/>
            </w:rPr>
          </w:pPr>
          <w:hyperlink w:anchor="_Toc116638089" w:history="1">
            <w:r w:rsidR="004168D5" w:rsidRPr="009303C1">
              <w:rPr>
                <w:rStyle w:val="Hyperlink"/>
                <w:rFonts w:ascii="Arial" w:eastAsia="Times New Roman" w:hAnsi="Arial" w:cs="Arial"/>
                <w:noProof/>
                <w:lang w:val="en-GB" w:eastAsia="en-GB"/>
              </w:rPr>
              <w:t>3.2.     Government Expenditure</w:t>
            </w:r>
            <w:r w:rsidR="004168D5" w:rsidRPr="009303C1">
              <w:rPr>
                <w:rFonts w:ascii="Arial" w:hAnsi="Arial" w:cs="Arial"/>
                <w:noProof/>
                <w:webHidden/>
                <w:lang w:val="en-GB"/>
              </w:rPr>
              <w:tab/>
            </w:r>
            <w:r w:rsidR="004168D5" w:rsidRPr="009303C1">
              <w:rPr>
                <w:rFonts w:ascii="Arial" w:hAnsi="Arial" w:cs="Arial"/>
                <w:noProof/>
                <w:webHidden/>
                <w:lang w:val="en-GB"/>
              </w:rPr>
              <w:fldChar w:fldCharType="begin"/>
            </w:r>
            <w:r w:rsidR="004168D5" w:rsidRPr="009303C1">
              <w:rPr>
                <w:rFonts w:ascii="Arial" w:hAnsi="Arial" w:cs="Arial"/>
                <w:noProof/>
                <w:webHidden/>
                <w:lang w:val="en-GB"/>
              </w:rPr>
              <w:instrText xml:space="preserve"> PAGEREF _Toc116638089 \h </w:instrText>
            </w:r>
            <w:r w:rsidR="004168D5" w:rsidRPr="009303C1">
              <w:rPr>
                <w:rFonts w:ascii="Arial" w:hAnsi="Arial" w:cs="Arial"/>
                <w:noProof/>
                <w:webHidden/>
                <w:lang w:val="en-GB"/>
              </w:rPr>
            </w:r>
            <w:r w:rsidR="004168D5" w:rsidRPr="009303C1">
              <w:rPr>
                <w:rFonts w:ascii="Arial" w:hAnsi="Arial" w:cs="Arial"/>
                <w:noProof/>
                <w:webHidden/>
                <w:lang w:val="en-GB"/>
              </w:rPr>
              <w:fldChar w:fldCharType="separate"/>
            </w:r>
            <w:r w:rsidR="00A664A7">
              <w:rPr>
                <w:rFonts w:ascii="Arial" w:hAnsi="Arial" w:cs="Arial"/>
                <w:noProof/>
                <w:webHidden/>
                <w:lang w:val="en-GB"/>
              </w:rPr>
              <w:t>8</w:t>
            </w:r>
            <w:r w:rsidR="004168D5" w:rsidRPr="009303C1">
              <w:rPr>
                <w:rFonts w:ascii="Arial" w:hAnsi="Arial" w:cs="Arial"/>
                <w:noProof/>
                <w:webHidden/>
                <w:lang w:val="en-GB"/>
              </w:rPr>
              <w:fldChar w:fldCharType="end"/>
            </w:r>
          </w:hyperlink>
        </w:p>
        <w:p w14:paraId="60C21393" w14:textId="3464F1EA" w:rsidR="004168D5" w:rsidRPr="009303C1" w:rsidRDefault="00000000" w:rsidP="004168D5">
          <w:pPr>
            <w:pStyle w:val="TOC3"/>
            <w:tabs>
              <w:tab w:val="right" w:leader="dot" w:pos="9016"/>
            </w:tabs>
            <w:spacing w:after="0" w:line="276" w:lineRule="auto"/>
            <w:jc w:val="both"/>
            <w:rPr>
              <w:rFonts w:ascii="Arial" w:hAnsi="Arial" w:cs="Arial"/>
              <w:noProof/>
              <w:lang w:val="en-GB" w:eastAsia="en-ZA"/>
            </w:rPr>
          </w:pPr>
          <w:hyperlink w:anchor="_Toc116638090" w:history="1">
            <w:r w:rsidR="004168D5" w:rsidRPr="009303C1">
              <w:rPr>
                <w:rStyle w:val="Hyperlink"/>
                <w:rFonts w:ascii="Arial" w:hAnsi="Arial" w:cs="Arial"/>
                <w:noProof/>
                <w:lang w:val="en-GB"/>
              </w:rPr>
              <w:t>3.2.1.   Wage Bill</w:t>
            </w:r>
            <w:r w:rsidR="004168D5" w:rsidRPr="009303C1">
              <w:rPr>
                <w:rFonts w:ascii="Arial" w:hAnsi="Arial" w:cs="Arial"/>
                <w:noProof/>
                <w:webHidden/>
                <w:lang w:val="en-GB"/>
              </w:rPr>
              <w:tab/>
            </w:r>
            <w:r w:rsidR="004168D5" w:rsidRPr="009303C1">
              <w:rPr>
                <w:rFonts w:ascii="Arial" w:hAnsi="Arial" w:cs="Arial"/>
                <w:noProof/>
                <w:webHidden/>
                <w:lang w:val="en-GB"/>
              </w:rPr>
              <w:fldChar w:fldCharType="begin"/>
            </w:r>
            <w:r w:rsidR="004168D5" w:rsidRPr="009303C1">
              <w:rPr>
                <w:rFonts w:ascii="Arial" w:hAnsi="Arial" w:cs="Arial"/>
                <w:noProof/>
                <w:webHidden/>
                <w:lang w:val="en-GB"/>
              </w:rPr>
              <w:instrText xml:space="preserve"> PAGEREF _Toc116638090 \h </w:instrText>
            </w:r>
            <w:r w:rsidR="004168D5" w:rsidRPr="009303C1">
              <w:rPr>
                <w:rFonts w:ascii="Arial" w:hAnsi="Arial" w:cs="Arial"/>
                <w:noProof/>
                <w:webHidden/>
                <w:lang w:val="en-GB"/>
              </w:rPr>
            </w:r>
            <w:r w:rsidR="004168D5" w:rsidRPr="009303C1">
              <w:rPr>
                <w:rFonts w:ascii="Arial" w:hAnsi="Arial" w:cs="Arial"/>
                <w:noProof/>
                <w:webHidden/>
                <w:lang w:val="en-GB"/>
              </w:rPr>
              <w:fldChar w:fldCharType="separate"/>
            </w:r>
            <w:r w:rsidR="00A664A7">
              <w:rPr>
                <w:rFonts w:ascii="Arial" w:hAnsi="Arial" w:cs="Arial"/>
                <w:noProof/>
                <w:webHidden/>
                <w:lang w:val="en-GB"/>
              </w:rPr>
              <w:t>8</w:t>
            </w:r>
            <w:r w:rsidR="004168D5" w:rsidRPr="009303C1">
              <w:rPr>
                <w:rFonts w:ascii="Arial" w:hAnsi="Arial" w:cs="Arial"/>
                <w:noProof/>
                <w:webHidden/>
                <w:lang w:val="en-GB"/>
              </w:rPr>
              <w:fldChar w:fldCharType="end"/>
            </w:r>
          </w:hyperlink>
        </w:p>
        <w:p w14:paraId="1075C9D1" w14:textId="0FCD5986" w:rsidR="004168D5" w:rsidRPr="009303C1" w:rsidRDefault="00000000" w:rsidP="004168D5">
          <w:pPr>
            <w:pStyle w:val="TOC3"/>
            <w:tabs>
              <w:tab w:val="right" w:leader="dot" w:pos="9016"/>
            </w:tabs>
            <w:spacing w:after="0" w:line="276" w:lineRule="auto"/>
            <w:jc w:val="both"/>
            <w:rPr>
              <w:rStyle w:val="Hyperlink"/>
              <w:rFonts w:ascii="Arial" w:hAnsi="Arial" w:cs="Arial"/>
              <w:noProof/>
              <w:lang w:val="en-GB"/>
            </w:rPr>
          </w:pPr>
          <w:hyperlink w:anchor="_Toc116638091" w:history="1">
            <w:r w:rsidR="004168D5" w:rsidRPr="009303C1">
              <w:rPr>
                <w:rStyle w:val="Hyperlink"/>
                <w:rFonts w:ascii="Arial" w:hAnsi="Arial" w:cs="Arial"/>
                <w:noProof/>
                <w:lang w:val="en-GB"/>
              </w:rPr>
              <w:t>3.2.2.   DA Expenditure Cut Proposals</w:t>
            </w:r>
            <w:r w:rsidR="004168D5" w:rsidRPr="009303C1">
              <w:rPr>
                <w:rFonts w:ascii="Arial" w:hAnsi="Arial" w:cs="Arial"/>
                <w:noProof/>
                <w:webHidden/>
                <w:lang w:val="en-GB"/>
              </w:rPr>
              <w:tab/>
            </w:r>
            <w:r w:rsidR="004168D5" w:rsidRPr="009303C1">
              <w:rPr>
                <w:rFonts w:ascii="Arial" w:hAnsi="Arial" w:cs="Arial"/>
                <w:noProof/>
                <w:webHidden/>
                <w:lang w:val="en-GB"/>
              </w:rPr>
              <w:fldChar w:fldCharType="begin"/>
            </w:r>
            <w:r w:rsidR="004168D5" w:rsidRPr="009303C1">
              <w:rPr>
                <w:rFonts w:ascii="Arial" w:hAnsi="Arial" w:cs="Arial"/>
                <w:noProof/>
                <w:webHidden/>
                <w:lang w:val="en-GB"/>
              </w:rPr>
              <w:instrText xml:space="preserve"> PAGEREF _Toc116638091 \h </w:instrText>
            </w:r>
            <w:r w:rsidR="004168D5" w:rsidRPr="009303C1">
              <w:rPr>
                <w:rFonts w:ascii="Arial" w:hAnsi="Arial" w:cs="Arial"/>
                <w:noProof/>
                <w:webHidden/>
                <w:lang w:val="en-GB"/>
              </w:rPr>
            </w:r>
            <w:r w:rsidR="004168D5" w:rsidRPr="009303C1">
              <w:rPr>
                <w:rFonts w:ascii="Arial" w:hAnsi="Arial" w:cs="Arial"/>
                <w:noProof/>
                <w:webHidden/>
                <w:lang w:val="en-GB"/>
              </w:rPr>
              <w:fldChar w:fldCharType="separate"/>
            </w:r>
            <w:r w:rsidR="00A664A7">
              <w:rPr>
                <w:rFonts w:ascii="Arial" w:hAnsi="Arial" w:cs="Arial"/>
                <w:noProof/>
                <w:webHidden/>
                <w:lang w:val="en-GB"/>
              </w:rPr>
              <w:t>9</w:t>
            </w:r>
            <w:r w:rsidR="004168D5" w:rsidRPr="009303C1">
              <w:rPr>
                <w:rFonts w:ascii="Arial" w:hAnsi="Arial" w:cs="Arial"/>
                <w:noProof/>
                <w:webHidden/>
                <w:lang w:val="en-GB"/>
              </w:rPr>
              <w:fldChar w:fldCharType="end"/>
            </w:r>
          </w:hyperlink>
        </w:p>
        <w:p w14:paraId="11CC217C" w14:textId="77777777" w:rsidR="004168D5" w:rsidRPr="009303C1" w:rsidRDefault="004168D5" w:rsidP="004168D5">
          <w:pPr>
            <w:spacing w:after="0" w:line="276" w:lineRule="auto"/>
            <w:jc w:val="both"/>
            <w:rPr>
              <w:rFonts w:ascii="Arial" w:hAnsi="Arial" w:cs="Arial"/>
              <w:noProof/>
              <w:lang w:val="en-GB"/>
            </w:rPr>
          </w:pPr>
        </w:p>
        <w:p w14:paraId="5F2D3B42" w14:textId="77777777" w:rsidR="004168D5" w:rsidRPr="009303C1" w:rsidRDefault="004168D5" w:rsidP="004168D5">
          <w:pPr>
            <w:spacing w:after="0" w:line="276" w:lineRule="auto"/>
            <w:jc w:val="both"/>
            <w:rPr>
              <w:rFonts w:ascii="Arial" w:hAnsi="Arial" w:cs="Arial"/>
              <w:noProof/>
              <w:lang w:val="en-GB"/>
            </w:rPr>
          </w:pPr>
        </w:p>
        <w:p w14:paraId="65472911" w14:textId="4155AE44" w:rsidR="004168D5" w:rsidRPr="009303C1" w:rsidRDefault="00000000" w:rsidP="004168D5">
          <w:pPr>
            <w:pStyle w:val="TOC1"/>
            <w:rPr>
              <w:lang w:val="en-GB" w:eastAsia="en-ZA"/>
            </w:rPr>
          </w:pPr>
          <w:hyperlink w:anchor="_Toc116638092" w:history="1">
            <w:r w:rsidR="004168D5" w:rsidRPr="009303C1">
              <w:rPr>
                <w:rStyle w:val="Hyperlink"/>
                <w:b/>
                <w:bCs/>
                <w:lang w:val="en-GB"/>
              </w:rPr>
              <w:t>4.</w:t>
            </w:r>
            <w:r w:rsidR="004168D5" w:rsidRPr="009303C1">
              <w:rPr>
                <w:lang w:val="en-GB" w:eastAsia="en-ZA"/>
              </w:rPr>
              <w:tab/>
            </w:r>
            <w:r w:rsidR="004168D5" w:rsidRPr="009303C1">
              <w:rPr>
                <w:rStyle w:val="Hyperlink"/>
                <w:b/>
                <w:bCs/>
                <w:lang w:val="en-GB"/>
              </w:rPr>
              <w:t>Support for Vulnerable South Africans</w:t>
            </w:r>
            <w:r w:rsidR="004168D5" w:rsidRPr="009303C1">
              <w:rPr>
                <w:b/>
                <w:bCs/>
                <w:webHidden/>
                <w:lang w:val="en-GB"/>
              </w:rPr>
              <w:tab/>
            </w:r>
            <w:r w:rsidR="004168D5" w:rsidRPr="009303C1">
              <w:rPr>
                <w:b/>
                <w:bCs/>
                <w:webHidden/>
                <w:lang w:val="en-GB"/>
              </w:rPr>
              <w:fldChar w:fldCharType="begin"/>
            </w:r>
            <w:r w:rsidR="004168D5" w:rsidRPr="009303C1">
              <w:rPr>
                <w:b/>
                <w:bCs/>
                <w:webHidden/>
                <w:lang w:val="en-GB"/>
              </w:rPr>
              <w:instrText xml:space="preserve"> PAGEREF _Toc116638092 \h </w:instrText>
            </w:r>
            <w:r w:rsidR="004168D5" w:rsidRPr="009303C1">
              <w:rPr>
                <w:b/>
                <w:bCs/>
                <w:webHidden/>
                <w:lang w:val="en-GB"/>
              </w:rPr>
            </w:r>
            <w:r w:rsidR="004168D5" w:rsidRPr="009303C1">
              <w:rPr>
                <w:b/>
                <w:bCs/>
                <w:webHidden/>
                <w:lang w:val="en-GB"/>
              </w:rPr>
              <w:fldChar w:fldCharType="separate"/>
            </w:r>
            <w:r w:rsidR="00A664A7">
              <w:rPr>
                <w:b/>
                <w:bCs/>
                <w:webHidden/>
                <w:lang w:val="en-GB"/>
              </w:rPr>
              <w:t>9</w:t>
            </w:r>
            <w:r w:rsidR="004168D5" w:rsidRPr="009303C1">
              <w:rPr>
                <w:b/>
                <w:bCs/>
                <w:webHidden/>
                <w:lang w:val="en-GB"/>
              </w:rPr>
              <w:fldChar w:fldCharType="end"/>
            </w:r>
          </w:hyperlink>
        </w:p>
        <w:p w14:paraId="75FF6610" w14:textId="3F9510B3" w:rsidR="004168D5" w:rsidRPr="009303C1" w:rsidRDefault="00000000" w:rsidP="004168D5">
          <w:pPr>
            <w:pStyle w:val="TOC2"/>
            <w:tabs>
              <w:tab w:val="right" w:leader="dot" w:pos="9016"/>
            </w:tabs>
            <w:spacing w:after="0" w:line="276" w:lineRule="auto"/>
            <w:jc w:val="both"/>
            <w:rPr>
              <w:rFonts w:ascii="Arial" w:hAnsi="Arial" w:cs="Arial"/>
              <w:noProof/>
              <w:lang w:val="en-GB" w:eastAsia="en-ZA"/>
            </w:rPr>
          </w:pPr>
          <w:hyperlink w:anchor="_Toc116638093" w:history="1">
            <w:r w:rsidR="004168D5" w:rsidRPr="009303C1">
              <w:rPr>
                <w:rStyle w:val="Hyperlink"/>
                <w:rFonts w:ascii="Arial" w:hAnsi="Arial" w:cs="Arial"/>
                <w:noProof/>
                <w:lang w:val="en-GB"/>
              </w:rPr>
              <w:t>4.1.     Basic Income Grant (BIG)</w:t>
            </w:r>
            <w:r w:rsidR="004168D5" w:rsidRPr="009303C1">
              <w:rPr>
                <w:rFonts w:ascii="Arial" w:hAnsi="Arial" w:cs="Arial"/>
                <w:noProof/>
                <w:webHidden/>
                <w:lang w:val="en-GB"/>
              </w:rPr>
              <w:tab/>
            </w:r>
            <w:r w:rsidR="004168D5" w:rsidRPr="009303C1">
              <w:rPr>
                <w:rFonts w:ascii="Arial" w:hAnsi="Arial" w:cs="Arial"/>
                <w:noProof/>
                <w:webHidden/>
                <w:lang w:val="en-GB"/>
              </w:rPr>
              <w:fldChar w:fldCharType="begin"/>
            </w:r>
            <w:r w:rsidR="004168D5" w:rsidRPr="009303C1">
              <w:rPr>
                <w:rFonts w:ascii="Arial" w:hAnsi="Arial" w:cs="Arial"/>
                <w:noProof/>
                <w:webHidden/>
                <w:lang w:val="en-GB"/>
              </w:rPr>
              <w:instrText xml:space="preserve"> PAGEREF _Toc116638093 \h </w:instrText>
            </w:r>
            <w:r w:rsidR="004168D5" w:rsidRPr="009303C1">
              <w:rPr>
                <w:rFonts w:ascii="Arial" w:hAnsi="Arial" w:cs="Arial"/>
                <w:noProof/>
                <w:webHidden/>
                <w:lang w:val="en-GB"/>
              </w:rPr>
            </w:r>
            <w:r w:rsidR="004168D5" w:rsidRPr="009303C1">
              <w:rPr>
                <w:rFonts w:ascii="Arial" w:hAnsi="Arial" w:cs="Arial"/>
                <w:noProof/>
                <w:webHidden/>
                <w:lang w:val="en-GB"/>
              </w:rPr>
              <w:fldChar w:fldCharType="separate"/>
            </w:r>
            <w:r w:rsidR="00A664A7">
              <w:rPr>
                <w:rFonts w:ascii="Arial" w:hAnsi="Arial" w:cs="Arial"/>
                <w:noProof/>
                <w:webHidden/>
                <w:lang w:val="en-GB"/>
              </w:rPr>
              <w:t>10</w:t>
            </w:r>
            <w:r w:rsidR="004168D5" w:rsidRPr="009303C1">
              <w:rPr>
                <w:rFonts w:ascii="Arial" w:hAnsi="Arial" w:cs="Arial"/>
                <w:noProof/>
                <w:webHidden/>
                <w:lang w:val="en-GB"/>
              </w:rPr>
              <w:fldChar w:fldCharType="end"/>
            </w:r>
          </w:hyperlink>
        </w:p>
        <w:p w14:paraId="61FB5B70" w14:textId="45DF17F9" w:rsidR="004168D5" w:rsidRPr="009303C1" w:rsidRDefault="00000000" w:rsidP="004168D5">
          <w:pPr>
            <w:pStyle w:val="TOC2"/>
            <w:tabs>
              <w:tab w:val="right" w:leader="dot" w:pos="9016"/>
            </w:tabs>
            <w:spacing w:after="0" w:line="276" w:lineRule="auto"/>
            <w:jc w:val="both"/>
            <w:rPr>
              <w:rStyle w:val="Hyperlink"/>
              <w:rFonts w:ascii="Arial" w:hAnsi="Arial" w:cs="Arial"/>
              <w:noProof/>
              <w:lang w:val="en-GB"/>
            </w:rPr>
          </w:pPr>
          <w:hyperlink w:anchor="_Toc116638094" w:history="1">
            <w:r w:rsidR="004168D5" w:rsidRPr="009303C1">
              <w:rPr>
                <w:rStyle w:val="Hyperlink"/>
                <w:rFonts w:ascii="Arial" w:hAnsi="Arial" w:cs="Arial"/>
                <w:noProof/>
                <w:lang w:val="en-GB"/>
              </w:rPr>
              <w:t>4.2.     Small-, Medium-, and Micro Enterprises (SMME) support</w:t>
            </w:r>
            <w:r w:rsidR="004168D5" w:rsidRPr="009303C1">
              <w:rPr>
                <w:rFonts w:ascii="Arial" w:hAnsi="Arial" w:cs="Arial"/>
                <w:noProof/>
                <w:webHidden/>
                <w:lang w:val="en-GB"/>
              </w:rPr>
              <w:tab/>
            </w:r>
            <w:r w:rsidR="004168D5" w:rsidRPr="009303C1">
              <w:rPr>
                <w:rFonts w:ascii="Arial" w:hAnsi="Arial" w:cs="Arial"/>
                <w:noProof/>
                <w:webHidden/>
                <w:lang w:val="en-GB"/>
              </w:rPr>
              <w:fldChar w:fldCharType="begin"/>
            </w:r>
            <w:r w:rsidR="004168D5" w:rsidRPr="009303C1">
              <w:rPr>
                <w:rFonts w:ascii="Arial" w:hAnsi="Arial" w:cs="Arial"/>
                <w:noProof/>
                <w:webHidden/>
                <w:lang w:val="en-GB"/>
              </w:rPr>
              <w:instrText xml:space="preserve"> PAGEREF _Toc116638094 \h </w:instrText>
            </w:r>
            <w:r w:rsidR="004168D5" w:rsidRPr="009303C1">
              <w:rPr>
                <w:rFonts w:ascii="Arial" w:hAnsi="Arial" w:cs="Arial"/>
                <w:noProof/>
                <w:webHidden/>
                <w:lang w:val="en-GB"/>
              </w:rPr>
            </w:r>
            <w:r w:rsidR="004168D5" w:rsidRPr="009303C1">
              <w:rPr>
                <w:rFonts w:ascii="Arial" w:hAnsi="Arial" w:cs="Arial"/>
                <w:noProof/>
                <w:webHidden/>
                <w:lang w:val="en-GB"/>
              </w:rPr>
              <w:fldChar w:fldCharType="separate"/>
            </w:r>
            <w:r w:rsidR="00A664A7">
              <w:rPr>
                <w:rFonts w:ascii="Arial" w:hAnsi="Arial" w:cs="Arial"/>
                <w:noProof/>
                <w:webHidden/>
                <w:lang w:val="en-GB"/>
              </w:rPr>
              <w:t>11</w:t>
            </w:r>
            <w:r w:rsidR="004168D5" w:rsidRPr="009303C1">
              <w:rPr>
                <w:rFonts w:ascii="Arial" w:hAnsi="Arial" w:cs="Arial"/>
                <w:noProof/>
                <w:webHidden/>
                <w:lang w:val="en-GB"/>
              </w:rPr>
              <w:fldChar w:fldCharType="end"/>
            </w:r>
          </w:hyperlink>
        </w:p>
        <w:p w14:paraId="02EFB99F" w14:textId="77777777" w:rsidR="004168D5" w:rsidRPr="009303C1" w:rsidRDefault="004168D5" w:rsidP="004168D5">
          <w:pPr>
            <w:spacing w:after="0" w:line="276" w:lineRule="auto"/>
            <w:jc w:val="both"/>
            <w:rPr>
              <w:rFonts w:ascii="Arial" w:hAnsi="Arial" w:cs="Arial"/>
              <w:noProof/>
              <w:lang w:val="en-GB"/>
            </w:rPr>
          </w:pPr>
        </w:p>
        <w:p w14:paraId="41B0CBBF" w14:textId="77777777" w:rsidR="004168D5" w:rsidRPr="009303C1" w:rsidRDefault="004168D5" w:rsidP="004168D5">
          <w:pPr>
            <w:spacing w:after="0" w:line="276" w:lineRule="auto"/>
            <w:jc w:val="both"/>
            <w:rPr>
              <w:rFonts w:ascii="Arial" w:hAnsi="Arial" w:cs="Arial"/>
              <w:noProof/>
              <w:lang w:val="en-GB"/>
            </w:rPr>
          </w:pPr>
        </w:p>
        <w:p w14:paraId="36854711" w14:textId="29F62C29" w:rsidR="004168D5" w:rsidRPr="009303C1" w:rsidRDefault="00000000" w:rsidP="004168D5">
          <w:pPr>
            <w:pStyle w:val="TOC1"/>
            <w:rPr>
              <w:rStyle w:val="Hyperlink"/>
              <w:lang w:val="en-GB"/>
            </w:rPr>
          </w:pPr>
          <w:hyperlink w:anchor="_Toc116638095" w:history="1">
            <w:r w:rsidR="004168D5" w:rsidRPr="009303C1">
              <w:rPr>
                <w:rStyle w:val="Hyperlink"/>
                <w:b/>
                <w:bCs/>
                <w:lang w:val="en-GB"/>
              </w:rPr>
              <w:t>5.</w:t>
            </w:r>
            <w:r w:rsidR="004168D5" w:rsidRPr="009303C1">
              <w:rPr>
                <w:lang w:val="en-GB" w:eastAsia="en-ZA"/>
              </w:rPr>
              <w:tab/>
            </w:r>
            <w:r w:rsidR="004168D5" w:rsidRPr="009303C1">
              <w:rPr>
                <w:rStyle w:val="Hyperlink"/>
                <w:b/>
                <w:bCs/>
                <w:lang w:val="en-GB"/>
              </w:rPr>
              <w:t>No Increases in Taxes</w:t>
            </w:r>
            <w:r w:rsidR="004168D5" w:rsidRPr="009303C1">
              <w:rPr>
                <w:webHidden/>
                <w:lang w:val="en-GB"/>
              </w:rPr>
              <w:tab/>
            </w:r>
            <w:r w:rsidR="004168D5" w:rsidRPr="009303C1">
              <w:rPr>
                <w:webHidden/>
                <w:lang w:val="en-GB"/>
              </w:rPr>
              <w:fldChar w:fldCharType="begin"/>
            </w:r>
            <w:r w:rsidR="004168D5" w:rsidRPr="009303C1">
              <w:rPr>
                <w:webHidden/>
                <w:lang w:val="en-GB"/>
              </w:rPr>
              <w:instrText xml:space="preserve"> PAGEREF _Toc116638095 \h </w:instrText>
            </w:r>
            <w:r w:rsidR="004168D5" w:rsidRPr="009303C1">
              <w:rPr>
                <w:webHidden/>
                <w:lang w:val="en-GB"/>
              </w:rPr>
            </w:r>
            <w:r w:rsidR="004168D5" w:rsidRPr="009303C1">
              <w:rPr>
                <w:webHidden/>
                <w:lang w:val="en-GB"/>
              </w:rPr>
              <w:fldChar w:fldCharType="separate"/>
            </w:r>
            <w:r w:rsidR="00A664A7">
              <w:rPr>
                <w:webHidden/>
                <w:lang w:val="en-GB"/>
              </w:rPr>
              <w:t>12</w:t>
            </w:r>
            <w:r w:rsidR="004168D5" w:rsidRPr="009303C1">
              <w:rPr>
                <w:webHidden/>
                <w:lang w:val="en-GB"/>
              </w:rPr>
              <w:fldChar w:fldCharType="end"/>
            </w:r>
          </w:hyperlink>
        </w:p>
        <w:p w14:paraId="32041824" w14:textId="77777777" w:rsidR="004168D5" w:rsidRPr="009303C1" w:rsidRDefault="004168D5" w:rsidP="004168D5">
          <w:pPr>
            <w:spacing w:after="0" w:line="276" w:lineRule="auto"/>
            <w:jc w:val="both"/>
            <w:rPr>
              <w:rFonts w:ascii="Arial" w:hAnsi="Arial" w:cs="Arial"/>
              <w:noProof/>
              <w:lang w:val="en-GB"/>
            </w:rPr>
          </w:pPr>
        </w:p>
        <w:p w14:paraId="621EE30F" w14:textId="77777777" w:rsidR="004168D5" w:rsidRPr="009303C1" w:rsidRDefault="004168D5" w:rsidP="004168D5">
          <w:pPr>
            <w:spacing w:after="0" w:line="276" w:lineRule="auto"/>
            <w:jc w:val="both"/>
            <w:rPr>
              <w:rFonts w:ascii="Arial" w:hAnsi="Arial" w:cs="Arial"/>
              <w:noProof/>
              <w:lang w:val="en-GB"/>
            </w:rPr>
          </w:pPr>
        </w:p>
        <w:p w14:paraId="55F9A950" w14:textId="43717F0B" w:rsidR="004168D5" w:rsidRPr="009303C1" w:rsidRDefault="00000000" w:rsidP="004168D5">
          <w:pPr>
            <w:pStyle w:val="TOC1"/>
            <w:rPr>
              <w:rStyle w:val="Hyperlink"/>
              <w:b/>
              <w:bCs/>
              <w:lang w:val="en-GB"/>
            </w:rPr>
          </w:pPr>
          <w:hyperlink w:anchor="_Toc116638096" w:history="1">
            <w:r w:rsidR="004168D5" w:rsidRPr="009303C1">
              <w:rPr>
                <w:rStyle w:val="Hyperlink"/>
                <w:b/>
                <w:bCs/>
                <w:lang w:val="en-GB"/>
              </w:rPr>
              <w:t>6.</w:t>
            </w:r>
            <w:r w:rsidR="004168D5" w:rsidRPr="009303C1">
              <w:rPr>
                <w:lang w:val="en-GB" w:eastAsia="en-ZA"/>
              </w:rPr>
              <w:tab/>
            </w:r>
            <w:r w:rsidR="004168D5" w:rsidRPr="009303C1">
              <w:rPr>
                <w:rStyle w:val="Hyperlink"/>
                <w:b/>
                <w:bCs/>
                <w:lang w:val="en-GB"/>
              </w:rPr>
              <w:t>Commit to the Bolstering of Corruption Busting Institutions</w:t>
            </w:r>
            <w:r w:rsidR="004168D5" w:rsidRPr="009303C1">
              <w:rPr>
                <w:b/>
                <w:bCs/>
                <w:webHidden/>
                <w:lang w:val="en-GB"/>
              </w:rPr>
              <w:tab/>
            </w:r>
            <w:r w:rsidR="004168D5" w:rsidRPr="009303C1">
              <w:rPr>
                <w:b/>
                <w:bCs/>
                <w:webHidden/>
                <w:lang w:val="en-GB"/>
              </w:rPr>
              <w:fldChar w:fldCharType="begin"/>
            </w:r>
            <w:r w:rsidR="004168D5" w:rsidRPr="009303C1">
              <w:rPr>
                <w:b/>
                <w:bCs/>
                <w:webHidden/>
                <w:lang w:val="en-GB"/>
              </w:rPr>
              <w:instrText xml:space="preserve"> PAGEREF _Toc116638096 \h </w:instrText>
            </w:r>
            <w:r w:rsidR="004168D5" w:rsidRPr="009303C1">
              <w:rPr>
                <w:b/>
                <w:bCs/>
                <w:webHidden/>
                <w:lang w:val="en-GB"/>
              </w:rPr>
            </w:r>
            <w:r w:rsidR="004168D5" w:rsidRPr="009303C1">
              <w:rPr>
                <w:b/>
                <w:bCs/>
                <w:webHidden/>
                <w:lang w:val="en-GB"/>
              </w:rPr>
              <w:fldChar w:fldCharType="separate"/>
            </w:r>
            <w:r w:rsidR="00A664A7">
              <w:rPr>
                <w:b/>
                <w:bCs/>
                <w:webHidden/>
                <w:lang w:val="en-GB"/>
              </w:rPr>
              <w:t>13</w:t>
            </w:r>
            <w:r w:rsidR="004168D5" w:rsidRPr="009303C1">
              <w:rPr>
                <w:b/>
                <w:bCs/>
                <w:webHidden/>
                <w:lang w:val="en-GB"/>
              </w:rPr>
              <w:fldChar w:fldCharType="end"/>
            </w:r>
          </w:hyperlink>
        </w:p>
        <w:p w14:paraId="65E14D5C" w14:textId="77777777" w:rsidR="004168D5" w:rsidRPr="009303C1" w:rsidRDefault="004168D5" w:rsidP="004168D5">
          <w:pPr>
            <w:spacing w:after="0" w:line="276" w:lineRule="auto"/>
            <w:jc w:val="both"/>
            <w:rPr>
              <w:rFonts w:ascii="Arial" w:hAnsi="Arial" w:cs="Arial"/>
              <w:noProof/>
              <w:lang w:val="en-GB"/>
            </w:rPr>
          </w:pPr>
        </w:p>
        <w:p w14:paraId="0F61A076" w14:textId="77777777" w:rsidR="004168D5" w:rsidRPr="009303C1" w:rsidRDefault="004168D5" w:rsidP="004168D5">
          <w:pPr>
            <w:spacing w:after="0" w:line="276" w:lineRule="auto"/>
            <w:jc w:val="both"/>
            <w:rPr>
              <w:rFonts w:ascii="Arial" w:hAnsi="Arial" w:cs="Arial"/>
              <w:noProof/>
              <w:lang w:val="en-GB"/>
            </w:rPr>
          </w:pPr>
        </w:p>
        <w:p w14:paraId="2F5580C5" w14:textId="16AEF778" w:rsidR="004168D5" w:rsidRPr="009303C1" w:rsidRDefault="00000000" w:rsidP="004168D5">
          <w:pPr>
            <w:pStyle w:val="TOC1"/>
            <w:rPr>
              <w:lang w:val="en-GB" w:eastAsia="en-ZA"/>
            </w:rPr>
          </w:pPr>
          <w:hyperlink w:anchor="_Toc116638097" w:history="1">
            <w:r w:rsidR="004168D5" w:rsidRPr="009303C1">
              <w:rPr>
                <w:rStyle w:val="Hyperlink"/>
                <w:b/>
                <w:bCs/>
                <w:lang w:val="en-GB"/>
              </w:rPr>
              <w:t>7.</w:t>
            </w:r>
            <w:r w:rsidR="004168D5" w:rsidRPr="009303C1">
              <w:rPr>
                <w:lang w:val="en-GB" w:eastAsia="en-ZA"/>
              </w:rPr>
              <w:tab/>
            </w:r>
            <w:r w:rsidR="004168D5" w:rsidRPr="009303C1">
              <w:rPr>
                <w:rStyle w:val="Hyperlink"/>
                <w:b/>
                <w:bCs/>
                <w:lang w:val="en-GB"/>
              </w:rPr>
              <w:t>Conclusion</w:t>
            </w:r>
            <w:r w:rsidR="004168D5" w:rsidRPr="009303C1">
              <w:rPr>
                <w:b/>
                <w:bCs/>
                <w:webHidden/>
                <w:lang w:val="en-GB"/>
              </w:rPr>
              <w:tab/>
            </w:r>
            <w:r w:rsidR="004168D5" w:rsidRPr="009303C1">
              <w:rPr>
                <w:b/>
                <w:bCs/>
                <w:webHidden/>
                <w:lang w:val="en-GB"/>
              </w:rPr>
              <w:fldChar w:fldCharType="begin"/>
            </w:r>
            <w:r w:rsidR="004168D5" w:rsidRPr="009303C1">
              <w:rPr>
                <w:b/>
                <w:bCs/>
                <w:webHidden/>
                <w:lang w:val="en-GB"/>
              </w:rPr>
              <w:instrText xml:space="preserve"> PAGEREF _Toc116638097 \h </w:instrText>
            </w:r>
            <w:r w:rsidR="004168D5" w:rsidRPr="009303C1">
              <w:rPr>
                <w:b/>
                <w:bCs/>
                <w:webHidden/>
                <w:lang w:val="en-GB"/>
              </w:rPr>
            </w:r>
            <w:r w:rsidR="004168D5" w:rsidRPr="009303C1">
              <w:rPr>
                <w:b/>
                <w:bCs/>
                <w:webHidden/>
                <w:lang w:val="en-GB"/>
              </w:rPr>
              <w:fldChar w:fldCharType="separate"/>
            </w:r>
            <w:r w:rsidR="00A664A7">
              <w:rPr>
                <w:b/>
                <w:bCs/>
                <w:webHidden/>
                <w:lang w:val="en-GB"/>
              </w:rPr>
              <w:t>14</w:t>
            </w:r>
            <w:r w:rsidR="004168D5" w:rsidRPr="009303C1">
              <w:rPr>
                <w:b/>
                <w:bCs/>
                <w:webHidden/>
                <w:lang w:val="en-GB"/>
              </w:rPr>
              <w:fldChar w:fldCharType="end"/>
            </w:r>
          </w:hyperlink>
        </w:p>
        <w:p w14:paraId="7E39DE5A" w14:textId="0AF4CA1C" w:rsidR="004168D5" w:rsidRPr="009303C1" w:rsidRDefault="004168D5" w:rsidP="004168D5">
          <w:pPr>
            <w:spacing w:after="0" w:line="276" w:lineRule="auto"/>
            <w:jc w:val="both"/>
            <w:rPr>
              <w:rFonts w:ascii="Arial" w:hAnsi="Arial" w:cs="Arial"/>
              <w:lang w:val="en-GB"/>
            </w:rPr>
          </w:pPr>
          <w:r w:rsidRPr="009303C1">
            <w:rPr>
              <w:rFonts w:ascii="Arial" w:hAnsi="Arial" w:cs="Arial"/>
              <w:b/>
              <w:bCs/>
              <w:noProof/>
              <w:lang w:val="en-GB"/>
            </w:rPr>
            <w:fldChar w:fldCharType="end"/>
          </w:r>
        </w:p>
      </w:sdtContent>
    </w:sdt>
    <w:p w14:paraId="0D142C44" w14:textId="77777777" w:rsidR="004168D5" w:rsidRPr="009303C1" w:rsidRDefault="004168D5" w:rsidP="004168D5">
      <w:pPr>
        <w:spacing w:after="0" w:line="276" w:lineRule="auto"/>
        <w:jc w:val="both"/>
        <w:rPr>
          <w:rFonts w:ascii="Arial" w:hAnsi="Arial" w:cs="Arial"/>
          <w:b/>
          <w:bCs/>
          <w:lang w:val="en-GB"/>
        </w:rPr>
      </w:pPr>
    </w:p>
    <w:p w14:paraId="59F2F30F" w14:textId="77777777" w:rsidR="004168D5" w:rsidRPr="009303C1" w:rsidRDefault="004168D5" w:rsidP="004168D5">
      <w:pPr>
        <w:spacing w:after="0" w:line="276" w:lineRule="auto"/>
        <w:jc w:val="both"/>
        <w:rPr>
          <w:rFonts w:ascii="Arial" w:hAnsi="Arial" w:cs="Arial"/>
          <w:b/>
          <w:bCs/>
          <w:lang w:val="en-GB"/>
        </w:rPr>
      </w:pPr>
    </w:p>
    <w:p w14:paraId="586375CB" w14:textId="77777777" w:rsidR="004168D5" w:rsidRPr="009303C1" w:rsidRDefault="004168D5" w:rsidP="004168D5">
      <w:pPr>
        <w:spacing w:after="0" w:line="276" w:lineRule="auto"/>
        <w:jc w:val="both"/>
        <w:rPr>
          <w:rFonts w:ascii="Arial" w:hAnsi="Arial" w:cs="Arial"/>
          <w:b/>
          <w:bCs/>
          <w:lang w:val="en-GB"/>
        </w:rPr>
      </w:pPr>
    </w:p>
    <w:p w14:paraId="7AAAC36F" w14:textId="4364A509" w:rsidR="004168D5" w:rsidRPr="009303C1" w:rsidRDefault="004168D5" w:rsidP="004168D5">
      <w:pPr>
        <w:pStyle w:val="TableofFigures"/>
        <w:tabs>
          <w:tab w:val="right" w:leader="dot" w:pos="9016"/>
        </w:tabs>
        <w:spacing w:line="276" w:lineRule="auto"/>
        <w:jc w:val="both"/>
        <w:rPr>
          <w:rFonts w:ascii="Arial" w:hAnsi="Arial" w:cs="Arial"/>
          <w:noProof/>
        </w:rPr>
      </w:pPr>
      <w:r w:rsidRPr="009303C1">
        <w:rPr>
          <w:rFonts w:ascii="Arial" w:hAnsi="Arial" w:cs="Arial"/>
          <w:b/>
          <w:bCs/>
        </w:rPr>
        <w:fldChar w:fldCharType="begin"/>
      </w:r>
      <w:r w:rsidRPr="009303C1">
        <w:rPr>
          <w:rFonts w:ascii="Arial" w:hAnsi="Arial" w:cs="Arial"/>
          <w:b/>
          <w:bCs/>
        </w:rPr>
        <w:instrText xml:space="preserve"> TOC \h \z \c "Figure" </w:instrText>
      </w:r>
      <w:r w:rsidRPr="009303C1">
        <w:rPr>
          <w:rFonts w:ascii="Arial" w:hAnsi="Arial" w:cs="Arial"/>
          <w:b/>
          <w:bCs/>
        </w:rPr>
        <w:fldChar w:fldCharType="separate"/>
      </w:r>
      <w:bookmarkStart w:id="0" w:name="_Hlk117424362"/>
      <w:r w:rsidR="00CE460B" w:rsidRPr="009303C1">
        <w:rPr>
          <w:rFonts w:ascii="Arial" w:hAnsi="Arial" w:cs="Arial"/>
        </w:rPr>
        <w:fldChar w:fldCharType="begin"/>
      </w:r>
      <w:r w:rsidR="00CE460B" w:rsidRPr="009303C1">
        <w:rPr>
          <w:rFonts w:ascii="Arial" w:hAnsi="Arial" w:cs="Arial"/>
        </w:rPr>
        <w:instrText xml:space="preserve"> HYPERLINK \l "_Toc116113697" </w:instrText>
      </w:r>
      <w:r w:rsidR="00CE460B" w:rsidRPr="009303C1">
        <w:rPr>
          <w:rFonts w:ascii="Arial" w:hAnsi="Arial" w:cs="Arial"/>
        </w:rPr>
      </w:r>
      <w:r w:rsidR="00CE460B" w:rsidRPr="009303C1">
        <w:rPr>
          <w:rFonts w:ascii="Arial" w:hAnsi="Arial" w:cs="Arial"/>
        </w:rPr>
        <w:fldChar w:fldCharType="separate"/>
      </w:r>
      <w:r w:rsidRPr="009303C1">
        <w:rPr>
          <w:rStyle w:val="Hyperlink"/>
          <w:rFonts w:ascii="Arial" w:hAnsi="Arial" w:cs="Arial"/>
          <w:noProof/>
        </w:rPr>
        <w:t xml:space="preserve">Figure 1: </w:t>
      </w:r>
      <w:r w:rsidRPr="009303C1">
        <w:rPr>
          <w:rStyle w:val="Hyperlink"/>
          <w:rFonts w:ascii="Arial" w:hAnsi="Arial" w:cs="Arial"/>
          <w:noProof/>
          <w:shd w:val="clear" w:color="auto" w:fill="FFFFFF"/>
        </w:rPr>
        <w:t>Government Debt-to-GDP Forecast</w:t>
      </w:r>
      <w:r w:rsidRPr="009303C1">
        <w:rPr>
          <w:rFonts w:ascii="Arial" w:hAnsi="Arial" w:cs="Arial"/>
          <w:noProof/>
          <w:webHidden/>
        </w:rPr>
        <w:tab/>
      </w:r>
      <w:r w:rsidRPr="009303C1">
        <w:rPr>
          <w:rFonts w:ascii="Arial" w:hAnsi="Arial" w:cs="Arial"/>
          <w:noProof/>
          <w:webHidden/>
        </w:rPr>
        <w:fldChar w:fldCharType="begin"/>
      </w:r>
      <w:r w:rsidRPr="009303C1">
        <w:rPr>
          <w:rFonts w:ascii="Arial" w:hAnsi="Arial" w:cs="Arial"/>
          <w:noProof/>
          <w:webHidden/>
        </w:rPr>
        <w:instrText xml:space="preserve"> PAGEREF _Toc116113697 \h </w:instrText>
      </w:r>
      <w:r w:rsidRPr="009303C1">
        <w:rPr>
          <w:rFonts w:ascii="Arial" w:hAnsi="Arial" w:cs="Arial"/>
          <w:noProof/>
          <w:webHidden/>
        </w:rPr>
      </w:r>
      <w:r w:rsidRPr="009303C1">
        <w:rPr>
          <w:rFonts w:ascii="Arial" w:hAnsi="Arial" w:cs="Arial"/>
          <w:noProof/>
          <w:webHidden/>
        </w:rPr>
        <w:fldChar w:fldCharType="separate"/>
      </w:r>
      <w:r w:rsidR="00A664A7">
        <w:rPr>
          <w:rFonts w:ascii="Arial" w:hAnsi="Arial" w:cs="Arial"/>
          <w:noProof/>
          <w:webHidden/>
        </w:rPr>
        <w:t>8</w:t>
      </w:r>
      <w:r w:rsidRPr="009303C1">
        <w:rPr>
          <w:rFonts w:ascii="Arial" w:hAnsi="Arial" w:cs="Arial"/>
          <w:noProof/>
          <w:webHidden/>
        </w:rPr>
        <w:fldChar w:fldCharType="end"/>
      </w:r>
      <w:r w:rsidR="00CE460B" w:rsidRPr="009303C1">
        <w:rPr>
          <w:rFonts w:ascii="Arial" w:hAnsi="Arial" w:cs="Arial"/>
          <w:noProof/>
        </w:rPr>
        <w:fldChar w:fldCharType="end"/>
      </w:r>
    </w:p>
    <w:bookmarkEnd w:id="0"/>
    <w:p w14:paraId="04187F9A" w14:textId="77777777" w:rsidR="004168D5" w:rsidRPr="009303C1" w:rsidRDefault="004168D5" w:rsidP="004168D5">
      <w:pPr>
        <w:spacing w:after="0" w:line="276" w:lineRule="auto"/>
        <w:jc w:val="both"/>
        <w:rPr>
          <w:rFonts w:ascii="Arial" w:hAnsi="Arial" w:cs="Arial"/>
          <w:b/>
          <w:bCs/>
          <w:lang w:val="en-GB"/>
        </w:rPr>
      </w:pPr>
      <w:r w:rsidRPr="009303C1">
        <w:rPr>
          <w:rFonts w:ascii="Arial" w:hAnsi="Arial" w:cs="Arial"/>
          <w:b/>
          <w:bCs/>
          <w:lang w:val="en-GB"/>
        </w:rPr>
        <w:fldChar w:fldCharType="end"/>
      </w:r>
    </w:p>
    <w:p w14:paraId="3AE3D73D" w14:textId="6D4636C0" w:rsidR="004168D5" w:rsidRPr="009303C1" w:rsidRDefault="004168D5" w:rsidP="004168D5">
      <w:pPr>
        <w:spacing w:after="0" w:line="276" w:lineRule="auto"/>
        <w:jc w:val="both"/>
        <w:rPr>
          <w:rFonts w:ascii="Arial" w:hAnsi="Arial" w:cs="Arial"/>
          <w:b/>
          <w:bCs/>
          <w:lang w:val="en-GB"/>
        </w:rPr>
      </w:pPr>
    </w:p>
    <w:p w14:paraId="2784E50F" w14:textId="77777777" w:rsidR="00603B16" w:rsidRPr="009303C1" w:rsidRDefault="00603B16" w:rsidP="006A4824">
      <w:pPr>
        <w:pStyle w:val="TableofFigures"/>
        <w:tabs>
          <w:tab w:val="right" w:leader="dot" w:pos="9016"/>
        </w:tabs>
        <w:spacing w:line="276" w:lineRule="auto"/>
        <w:jc w:val="both"/>
        <w:rPr>
          <w:rFonts w:ascii="Arial" w:hAnsi="Arial" w:cs="Arial"/>
        </w:rPr>
      </w:pPr>
    </w:p>
    <w:p w14:paraId="6123F794" w14:textId="6025FAE0" w:rsidR="00603B16" w:rsidRPr="009303C1" w:rsidRDefault="00603B16">
      <w:pPr>
        <w:pStyle w:val="TableofFigures"/>
        <w:tabs>
          <w:tab w:val="right" w:leader="dot" w:pos="9016"/>
        </w:tabs>
        <w:rPr>
          <w:rFonts w:ascii="Arial" w:eastAsiaTheme="minorEastAsia" w:hAnsi="Arial" w:cs="Arial"/>
          <w:noProof/>
          <w:lang w:eastAsia="en-GB"/>
        </w:rPr>
      </w:pPr>
      <w:r w:rsidRPr="009303C1">
        <w:rPr>
          <w:rFonts w:ascii="Arial" w:hAnsi="Arial" w:cs="Arial"/>
          <w:b/>
          <w:bCs/>
        </w:rPr>
        <w:fldChar w:fldCharType="begin"/>
      </w:r>
      <w:r w:rsidRPr="009303C1">
        <w:rPr>
          <w:rFonts w:ascii="Arial" w:hAnsi="Arial" w:cs="Arial"/>
          <w:b/>
          <w:bCs/>
        </w:rPr>
        <w:instrText xml:space="preserve"> TOC \h \z \c "Table" </w:instrText>
      </w:r>
      <w:r w:rsidRPr="009303C1">
        <w:rPr>
          <w:rFonts w:ascii="Arial" w:hAnsi="Arial" w:cs="Arial"/>
          <w:b/>
          <w:bCs/>
        </w:rPr>
        <w:fldChar w:fldCharType="separate"/>
      </w:r>
      <w:hyperlink w:anchor="_Toc117424601" w:history="1">
        <w:r w:rsidRPr="009303C1">
          <w:rPr>
            <w:rStyle w:val="Hyperlink"/>
            <w:rFonts w:ascii="Arial" w:hAnsi="Arial" w:cs="Arial"/>
            <w:noProof/>
          </w:rPr>
          <w:t>Table 1: Alternative Budget Framework</w:t>
        </w:r>
        <w:r w:rsidRPr="009303C1">
          <w:rPr>
            <w:rFonts w:ascii="Arial" w:hAnsi="Arial" w:cs="Arial"/>
            <w:noProof/>
            <w:webHidden/>
          </w:rPr>
          <w:tab/>
        </w:r>
        <w:r w:rsidRPr="009303C1">
          <w:rPr>
            <w:rFonts w:ascii="Arial" w:hAnsi="Arial" w:cs="Arial"/>
            <w:noProof/>
            <w:webHidden/>
          </w:rPr>
          <w:fldChar w:fldCharType="begin"/>
        </w:r>
        <w:r w:rsidRPr="009303C1">
          <w:rPr>
            <w:rFonts w:ascii="Arial" w:hAnsi="Arial" w:cs="Arial"/>
            <w:noProof/>
            <w:webHidden/>
          </w:rPr>
          <w:instrText xml:space="preserve"> PAGEREF _Toc117424601 \h </w:instrText>
        </w:r>
        <w:r w:rsidRPr="009303C1">
          <w:rPr>
            <w:rFonts w:ascii="Arial" w:hAnsi="Arial" w:cs="Arial"/>
            <w:noProof/>
            <w:webHidden/>
          </w:rPr>
        </w:r>
        <w:r w:rsidRPr="009303C1">
          <w:rPr>
            <w:rFonts w:ascii="Arial" w:hAnsi="Arial" w:cs="Arial"/>
            <w:noProof/>
            <w:webHidden/>
          </w:rPr>
          <w:fldChar w:fldCharType="separate"/>
        </w:r>
        <w:r w:rsidR="00A664A7">
          <w:rPr>
            <w:rFonts w:ascii="Arial" w:hAnsi="Arial" w:cs="Arial"/>
            <w:noProof/>
            <w:webHidden/>
          </w:rPr>
          <w:t>0</w:t>
        </w:r>
        <w:r w:rsidRPr="009303C1">
          <w:rPr>
            <w:rFonts w:ascii="Arial" w:hAnsi="Arial" w:cs="Arial"/>
            <w:noProof/>
            <w:webHidden/>
          </w:rPr>
          <w:fldChar w:fldCharType="end"/>
        </w:r>
      </w:hyperlink>
    </w:p>
    <w:p w14:paraId="51C52403" w14:textId="3BDDC9CC" w:rsidR="004168D5" w:rsidRPr="009303C1" w:rsidRDefault="00603B16" w:rsidP="004168D5">
      <w:pPr>
        <w:spacing w:after="0" w:line="276" w:lineRule="auto"/>
        <w:jc w:val="both"/>
        <w:rPr>
          <w:rFonts w:ascii="Arial" w:hAnsi="Arial" w:cs="Arial"/>
          <w:b/>
          <w:bCs/>
          <w:lang w:val="en-GB"/>
        </w:rPr>
      </w:pPr>
      <w:r w:rsidRPr="009303C1">
        <w:rPr>
          <w:rFonts w:ascii="Arial" w:hAnsi="Arial" w:cs="Arial"/>
          <w:b/>
          <w:bCs/>
          <w:lang w:val="en-GB"/>
        </w:rPr>
        <w:fldChar w:fldCharType="end"/>
      </w:r>
    </w:p>
    <w:p w14:paraId="130373AA" w14:textId="77777777" w:rsidR="004168D5" w:rsidRPr="009303C1" w:rsidRDefault="004168D5" w:rsidP="004168D5">
      <w:pPr>
        <w:spacing w:after="0" w:line="276" w:lineRule="auto"/>
        <w:jc w:val="both"/>
        <w:rPr>
          <w:rFonts w:ascii="Arial" w:hAnsi="Arial" w:cs="Arial"/>
          <w:b/>
          <w:bCs/>
          <w:lang w:val="en-GB"/>
        </w:rPr>
      </w:pPr>
    </w:p>
    <w:p w14:paraId="0678FBCE" w14:textId="77777777" w:rsidR="004168D5" w:rsidRPr="009303C1" w:rsidRDefault="004168D5" w:rsidP="004168D5">
      <w:pPr>
        <w:spacing w:after="0" w:line="276" w:lineRule="auto"/>
        <w:jc w:val="both"/>
        <w:rPr>
          <w:rFonts w:ascii="Arial" w:hAnsi="Arial" w:cs="Arial"/>
          <w:b/>
          <w:bCs/>
          <w:lang w:val="en-GB"/>
        </w:rPr>
      </w:pPr>
    </w:p>
    <w:p w14:paraId="6A60C668" w14:textId="77777777" w:rsidR="004168D5" w:rsidRPr="009303C1" w:rsidRDefault="004168D5" w:rsidP="004168D5">
      <w:pPr>
        <w:spacing w:after="0" w:line="276" w:lineRule="auto"/>
        <w:jc w:val="both"/>
        <w:rPr>
          <w:rFonts w:ascii="Arial" w:hAnsi="Arial" w:cs="Arial"/>
          <w:b/>
          <w:bCs/>
          <w:lang w:val="en-GB"/>
        </w:rPr>
      </w:pPr>
    </w:p>
    <w:p w14:paraId="1DA862F1" w14:textId="77777777" w:rsidR="004168D5" w:rsidRPr="009303C1" w:rsidRDefault="004168D5" w:rsidP="004168D5">
      <w:pPr>
        <w:spacing w:after="0" w:line="276" w:lineRule="auto"/>
        <w:jc w:val="both"/>
        <w:rPr>
          <w:rFonts w:ascii="Arial" w:hAnsi="Arial" w:cs="Arial"/>
          <w:b/>
          <w:bCs/>
          <w:lang w:val="en-GB"/>
        </w:rPr>
      </w:pPr>
    </w:p>
    <w:p w14:paraId="764CCFF3" w14:textId="77777777" w:rsidR="004168D5" w:rsidRPr="009303C1" w:rsidRDefault="004168D5" w:rsidP="004168D5">
      <w:pPr>
        <w:spacing w:after="0" w:line="276" w:lineRule="auto"/>
        <w:jc w:val="both"/>
        <w:rPr>
          <w:rFonts w:ascii="Arial" w:hAnsi="Arial" w:cs="Arial"/>
          <w:b/>
          <w:bCs/>
          <w:lang w:val="en-GB"/>
        </w:rPr>
      </w:pPr>
    </w:p>
    <w:p w14:paraId="7BD28619" w14:textId="3A9DEAB4" w:rsidR="004168D5" w:rsidRPr="001E040F" w:rsidRDefault="004168D5" w:rsidP="004168D5">
      <w:pPr>
        <w:pStyle w:val="Heading1"/>
        <w:numPr>
          <w:ilvl w:val="0"/>
          <w:numId w:val="30"/>
        </w:numPr>
        <w:spacing w:before="0" w:line="276" w:lineRule="auto"/>
        <w:jc w:val="both"/>
        <w:rPr>
          <w:rFonts w:ascii="Arial" w:hAnsi="Arial" w:cs="Arial"/>
          <w:b/>
          <w:bCs/>
          <w:color w:val="0070C0"/>
          <w:sz w:val="22"/>
          <w:szCs w:val="22"/>
          <w:u w:val="single"/>
          <w:shd w:val="clear" w:color="auto" w:fill="FFFFFF"/>
        </w:rPr>
      </w:pPr>
      <w:bookmarkStart w:id="1" w:name="_Toc116638082"/>
      <w:r w:rsidRPr="001E040F">
        <w:rPr>
          <w:rFonts w:ascii="Arial" w:hAnsi="Arial" w:cs="Arial"/>
          <w:b/>
          <w:bCs/>
          <w:color w:val="0070C0"/>
          <w:sz w:val="22"/>
          <w:szCs w:val="22"/>
          <w:u w:val="single"/>
          <w:shd w:val="clear" w:color="auto" w:fill="FFFFFF"/>
        </w:rPr>
        <w:lastRenderedPageBreak/>
        <w:t>Introduction</w:t>
      </w:r>
      <w:bookmarkEnd w:id="1"/>
    </w:p>
    <w:p w14:paraId="566F71C7" w14:textId="77777777" w:rsidR="004168D5" w:rsidRPr="009303C1" w:rsidRDefault="004168D5" w:rsidP="004168D5">
      <w:pPr>
        <w:spacing w:after="0" w:line="276" w:lineRule="auto"/>
        <w:jc w:val="both"/>
        <w:rPr>
          <w:rFonts w:ascii="Arial" w:hAnsi="Arial" w:cs="Arial"/>
          <w:lang w:val="en-GB"/>
        </w:rPr>
      </w:pPr>
    </w:p>
    <w:p w14:paraId="0C6CD383" w14:textId="77777777"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t>On Wednesday 26</w:t>
      </w:r>
      <w:r w:rsidRPr="009303C1">
        <w:rPr>
          <w:rFonts w:ascii="Arial" w:hAnsi="Arial" w:cs="Arial"/>
          <w:vertAlign w:val="superscript"/>
          <w:lang w:val="en-GB"/>
        </w:rPr>
        <w:t>th</w:t>
      </w:r>
      <w:r w:rsidRPr="009303C1">
        <w:rPr>
          <w:rFonts w:ascii="Arial" w:hAnsi="Arial" w:cs="Arial"/>
          <w:lang w:val="en-GB"/>
        </w:rPr>
        <w:t xml:space="preserve"> October, the Minister of Finance Enoch </w:t>
      </w:r>
      <w:proofErr w:type="spellStart"/>
      <w:r w:rsidRPr="009303C1">
        <w:rPr>
          <w:rFonts w:ascii="Arial" w:hAnsi="Arial" w:cs="Arial"/>
          <w:lang w:val="en-GB"/>
        </w:rPr>
        <w:t>Godongwana</w:t>
      </w:r>
      <w:proofErr w:type="spellEnd"/>
      <w:r w:rsidRPr="009303C1">
        <w:rPr>
          <w:rFonts w:ascii="Arial" w:hAnsi="Arial" w:cs="Arial"/>
          <w:lang w:val="en-GB"/>
        </w:rPr>
        <w:t xml:space="preserve"> will deliver one of the most challenging Medium-Term Budget Policy Statements (MTBPS) to date. This year’s MTBPS will serve as the key determinant on how Treasury plans to orient South Africa’s fiscal trajectory such that the economy is able to grow resiliently amongst soaring living costs, an ongoing energy crisis and growing international volatility.</w:t>
      </w:r>
    </w:p>
    <w:p w14:paraId="45FAF180" w14:textId="77777777" w:rsidR="004168D5" w:rsidRPr="009303C1" w:rsidRDefault="004168D5" w:rsidP="004168D5">
      <w:pPr>
        <w:spacing w:after="0" w:line="276" w:lineRule="auto"/>
        <w:jc w:val="both"/>
        <w:rPr>
          <w:rFonts w:ascii="Arial" w:hAnsi="Arial" w:cs="Arial"/>
          <w:lang w:val="en-GB"/>
        </w:rPr>
      </w:pPr>
    </w:p>
    <w:p w14:paraId="470F9C15" w14:textId="77777777" w:rsidR="004168D5" w:rsidRPr="009303C1" w:rsidRDefault="004168D5" w:rsidP="004168D5">
      <w:pPr>
        <w:spacing w:after="0" w:line="276" w:lineRule="auto"/>
        <w:jc w:val="both"/>
        <w:rPr>
          <w:rFonts w:ascii="Arial" w:hAnsi="Arial" w:cs="Arial"/>
          <w:lang w:val="en-GB"/>
        </w:rPr>
      </w:pPr>
      <w:r w:rsidRPr="009303C1">
        <w:rPr>
          <w:rFonts w:ascii="Arial" w:hAnsi="Arial" w:cs="Arial"/>
          <w:shd w:val="clear" w:color="auto" w:fill="FFFFFF"/>
          <w:lang w:val="en-GB"/>
        </w:rPr>
        <w:t xml:space="preserve">South Africa’s post-pandemic recovery has been underperforming on many fronts. Rising debt, slower growth, record unemployment and increasing food insecurity – all happening in an unstable political environment, require bold policy choices. According to </w:t>
      </w:r>
      <w:r w:rsidRPr="009303C1">
        <w:rPr>
          <w:rFonts w:ascii="Arial" w:hAnsi="Arial" w:cs="Arial"/>
          <w:lang w:val="en-GB"/>
        </w:rPr>
        <w:t xml:space="preserve">the International Monetary Fund (IMF), South Africa’s economic contraction of -6.4% was among the largest in emerging markets in 2020. The mediocre 4.9% rebound of 2021 is compounded by a tepid average growth projection of 1.9% in 2022. </w:t>
      </w:r>
    </w:p>
    <w:p w14:paraId="3CE3B0A3" w14:textId="77777777" w:rsidR="004168D5" w:rsidRPr="009303C1" w:rsidRDefault="004168D5" w:rsidP="004168D5">
      <w:pPr>
        <w:tabs>
          <w:tab w:val="left" w:pos="5415"/>
        </w:tabs>
        <w:spacing w:after="0" w:line="276" w:lineRule="auto"/>
        <w:jc w:val="both"/>
        <w:rPr>
          <w:rFonts w:ascii="Arial" w:hAnsi="Arial" w:cs="Arial"/>
          <w:lang w:val="en-GB"/>
        </w:rPr>
      </w:pPr>
    </w:p>
    <w:p w14:paraId="05FC4359" w14:textId="2E7F40FB"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t>Regardless of recent estimates having revised emerging market growth rates downwards to 3.4%</w:t>
      </w:r>
      <w:r w:rsidRPr="009303C1">
        <w:rPr>
          <w:rStyle w:val="FootnoteReference"/>
          <w:rFonts w:ascii="Arial" w:hAnsi="Arial" w:cs="Arial"/>
          <w:lang w:val="en-GB"/>
        </w:rPr>
        <w:footnoteReference w:id="1"/>
      </w:r>
      <w:r w:rsidRPr="009303C1">
        <w:rPr>
          <w:rFonts w:ascii="Arial" w:hAnsi="Arial" w:cs="Arial"/>
          <w:lang w:val="en-GB"/>
        </w:rPr>
        <w:t>, m</w:t>
      </w:r>
      <w:r w:rsidRPr="009303C1">
        <w:rPr>
          <w:rFonts w:ascii="Arial" w:hAnsi="Arial" w:cs="Arial"/>
          <w:shd w:val="clear" w:color="auto" w:fill="FFFFFF"/>
          <w:lang w:val="en-GB"/>
        </w:rPr>
        <w:t xml:space="preserve">ost emerging market economies have evidently begun to recover from the devastating effects of the pandemic and enduring lockdowns, notwithstanding their own challenges and the prevailing negative global economic headwinds. Yet, South Africa finds itself trailing behind its emerging market peers, much due to its own accord. Considering this, the meagre South African growth figures cannot be considered as positive amidst hundreds of billions of Rands of deficit spending and, fiscal and monetary stimulus. </w:t>
      </w:r>
      <w:r w:rsidRPr="009303C1">
        <w:rPr>
          <w:rFonts w:ascii="Arial" w:hAnsi="Arial" w:cs="Arial"/>
          <w:lang w:val="en-GB"/>
        </w:rPr>
        <w:t xml:space="preserve">While there were slight marginal gains in terms of economic growth, this lethargic performance remains reflective </w:t>
      </w:r>
      <w:r w:rsidR="000676F4" w:rsidRPr="009303C1">
        <w:rPr>
          <w:rFonts w:ascii="Arial" w:hAnsi="Arial" w:cs="Arial"/>
          <w:lang w:val="en-GB"/>
        </w:rPr>
        <w:t xml:space="preserve">of </w:t>
      </w:r>
      <w:r w:rsidRPr="009303C1">
        <w:rPr>
          <w:rFonts w:ascii="Arial" w:hAnsi="Arial" w:cs="Arial"/>
          <w:lang w:val="en-GB"/>
        </w:rPr>
        <w:t xml:space="preserve">an economy performing well below its potential, the result of failed economic policy. </w:t>
      </w:r>
    </w:p>
    <w:p w14:paraId="39B0508D" w14:textId="77777777" w:rsidR="004168D5" w:rsidRPr="009303C1" w:rsidRDefault="004168D5" w:rsidP="004168D5">
      <w:pPr>
        <w:spacing w:after="0" w:line="276" w:lineRule="auto"/>
        <w:jc w:val="both"/>
        <w:rPr>
          <w:rFonts w:ascii="Arial" w:hAnsi="Arial" w:cs="Arial"/>
          <w:lang w:val="en-GB"/>
        </w:rPr>
      </w:pPr>
    </w:p>
    <w:p w14:paraId="3C0EF2EF" w14:textId="5A89BB5C" w:rsidR="004168D5" w:rsidRPr="009303C1" w:rsidRDefault="004168D5" w:rsidP="004168D5">
      <w:pPr>
        <w:spacing w:after="0" w:line="276" w:lineRule="auto"/>
        <w:jc w:val="both"/>
        <w:rPr>
          <w:rFonts w:ascii="Arial" w:hAnsi="Arial" w:cs="Arial"/>
          <w:lang w:val="en-GB"/>
        </w:rPr>
      </w:pPr>
      <w:bookmarkStart w:id="2" w:name="_Hlk117508066"/>
      <w:r w:rsidRPr="009303C1">
        <w:rPr>
          <w:rFonts w:ascii="Arial" w:hAnsi="Arial" w:cs="Arial"/>
          <w:lang w:val="en-GB"/>
        </w:rPr>
        <w:t>As a developing country with a massive labour force at its disposal, South Africa should be experiencing continuous virtuous growth.</w:t>
      </w:r>
      <w:bookmarkEnd w:id="2"/>
      <w:r w:rsidRPr="009303C1">
        <w:rPr>
          <w:rFonts w:ascii="Arial" w:hAnsi="Arial" w:cs="Arial"/>
          <w:lang w:val="en-GB"/>
        </w:rPr>
        <w:t xml:space="preserve"> To this end, if South Africa was to implement the policy reforms put forward by the DA in our 2022 Alternative Budget, it is possible that the country could potentially experience economic growth rates at par with the world’s most successful emerging markets and growth projections made in the February 2022 budget  of 4.8%</w:t>
      </w:r>
      <w:r w:rsidRPr="009303C1">
        <w:rPr>
          <w:rStyle w:val="FootnoteReference"/>
          <w:rFonts w:ascii="Arial" w:hAnsi="Arial" w:cs="Arial"/>
          <w:lang w:val="en-GB"/>
        </w:rPr>
        <w:footnoteReference w:id="2"/>
      </w:r>
      <w:r w:rsidRPr="009303C1">
        <w:rPr>
          <w:rFonts w:ascii="Arial" w:hAnsi="Arial" w:cs="Arial"/>
          <w:lang w:val="en-GB"/>
        </w:rPr>
        <w:t xml:space="preserve">. Projections in this Alternative MTBPS will rest on this assumption. </w:t>
      </w:r>
    </w:p>
    <w:p w14:paraId="248AA021" w14:textId="77777777" w:rsidR="004168D5" w:rsidRPr="009303C1" w:rsidRDefault="004168D5" w:rsidP="004168D5">
      <w:pPr>
        <w:spacing w:after="0" w:line="276" w:lineRule="auto"/>
        <w:jc w:val="both"/>
        <w:rPr>
          <w:rFonts w:ascii="Arial" w:hAnsi="Arial" w:cs="Arial"/>
          <w:lang w:val="en-GB"/>
        </w:rPr>
      </w:pPr>
    </w:p>
    <w:p w14:paraId="752DDBA4" w14:textId="77777777"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t xml:space="preserve">Instead, the South African economy finds itself trapped in a manufactured self-reinforcing vicious cycle of high government budget deficits, unstable energy supply, declining foreign and local private capital formation, declining levels of GDP per capita,  uncertainty on private property rights, poor national and local governance, and a vast poorly run public sector dominated by monopolistic state enterprises. </w:t>
      </w:r>
    </w:p>
    <w:p w14:paraId="7B50119E" w14:textId="77777777"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t xml:space="preserve"> </w:t>
      </w:r>
    </w:p>
    <w:p w14:paraId="49C0E218" w14:textId="77777777"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t xml:space="preserve">The DA’s Alternative Budget in February 2022 proposed a fiscal policy platform that would direct South Africa’s economic recovery towards virtuous growth to generate higher levels of labour market participation, reduce public debt, raise living standards, attract foreign and local </w:t>
      </w:r>
      <w:r w:rsidRPr="009303C1">
        <w:rPr>
          <w:rFonts w:ascii="Arial" w:hAnsi="Arial" w:cs="Arial"/>
          <w:lang w:val="en-GB"/>
        </w:rPr>
        <w:lastRenderedPageBreak/>
        <w:t xml:space="preserve">investment, and alleviate the disproportionate impact of rising inflationary pressures on the most vulnerable in our society through responsible fiscal management. </w:t>
      </w:r>
    </w:p>
    <w:p w14:paraId="07AE8AC3" w14:textId="77777777"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t xml:space="preserve"> </w:t>
      </w:r>
    </w:p>
    <w:p w14:paraId="4E0E1EB9" w14:textId="780E0AFA"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t>The policy imperatives of these key outcomes have not changed and provide the framework for the DA’s Alternative 2022 MTB</w:t>
      </w:r>
      <w:r w:rsidR="000676F4" w:rsidRPr="009303C1">
        <w:rPr>
          <w:rFonts w:ascii="Arial" w:hAnsi="Arial" w:cs="Arial"/>
          <w:lang w:val="en-GB"/>
        </w:rPr>
        <w:t>P</w:t>
      </w:r>
      <w:r w:rsidRPr="009303C1">
        <w:rPr>
          <w:rFonts w:ascii="Arial" w:hAnsi="Arial" w:cs="Arial"/>
          <w:lang w:val="en-GB"/>
        </w:rPr>
        <w:t xml:space="preserve">S which presents practical solutions that would facilitate an investment friendly environment. Achieving economic growth, especially in the context of the international economic climate, would have to be the function of a collective and pragmatic approach that leverages the resources of the private sector and a deregulated labour market. Although government has proven itself incapable, it still seeks to occupy a central role in our economy. It should, rather, focus on providing the service it was elected to deliver and then get out of the way. Accordingly, this year’s alternative MTBPS builds on the DA’s alternative budget proposed in February 2022 and lays the foundation for our alternative budget in February 2023. </w:t>
      </w:r>
    </w:p>
    <w:p w14:paraId="0EBD8EC7" w14:textId="77777777" w:rsidR="004168D5" w:rsidRPr="009303C1" w:rsidRDefault="004168D5" w:rsidP="004168D5">
      <w:pPr>
        <w:spacing w:after="0" w:line="276" w:lineRule="auto"/>
        <w:jc w:val="both"/>
        <w:rPr>
          <w:rFonts w:ascii="Arial" w:hAnsi="Arial" w:cs="Arial"/>
          <w:lang w:val="en-GB"/>
        </w:rPr>
      </w:pPr>
    </w:p>
    <w:p w14:paraId="191B2D88" w14:textId="77777777"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t xml:space="preserve">The DA’s primary expectations for the MTBPS include: </w:t>
      </w:r>
    </w:p>
    <w:p w14:paraId="42AE6797" w14:textId="77777777" w:rsidR="004168D5" w:rsidRPr="009303C1" w:rsidRDefault="004168D5" w:rsidP="004168D5">
      <w:pPr>
        <w:spacing w:after="0" w:line="276" w:lineRule="auto"/>
        <w:jc w:val="both"/>
        <w:rPr>
          <w:rFonts w:ascii="Arial" w:hAnsi="Arial" w:cs="Arial"/>
          <w:lang w:val="en-GB"/>
        </w:rPr>
      </w:pPr>
    </w:p>
    <w:p w14:paraId="37C8D3A3" w14:textId="77777777" w:rsidR="004168D5" w:rsidRPr="009303C1" w:rsidRDefault="004168D5" w:rsidP="004168D5">
      <w:pPr>
        <w:pStyle w:val="ListParagraph"/>
        <w:numPr>
          <w:ilvl w:val="0"/>
          <w:numId w:val="9"/>
        </w:numPr>
        <w:autoSpaceDE w:val="0"/>
        <w:autoSpaceDN w:val="0"/>
        <w:adjustRightInd w:val="0"/>
        <w:spacing w:after="0" w:line="276" w:lineRule="auto"/>
        <w:jc w:val="both"/>
        <w:rPr>
          <w:rFonts w:ascii="Arial" w:hAnsi="Arial" w:cs="Arial"/>
          <w:lang w:val="en-GB"/>
        </w:rPr>
      </w:pPr>
      <w:r w:rsidRPr="009303C1">
        <w:rPr>
          <w:rFonts w:ascii="Arial" w:hAnsi="Arial" w:cs="Arial"/>
          <w:lang w:val="en-GB"/>
        </w:rPr>
        <w:t xml:space="preserve">Establishing a base for resilient economic growth </w:t>
      </w:r>
    </w:p>
    <w:p w14:paraId="2E6BEE81" w14:textId="77777777" w:rsidR="004168D5" w:rsidRPr="009303C1" w:rsidRDefault="004168D5" w:rsidP="004168D5">
      <w:pPr>
        <w:pStyle w:val="ListParagraph"/>
        <w:numPr>
          <w:ilvl w:val="0"/>
          <w:numId w:val="9"/>
        </w:numPr>
        <w:autoSpaceDE w:val="0"/>
        <w:autoSpaceDN w:val="0"/>
        <w:adjustRightInd w:val="0"/>
        <w:spacing w:after="0" w:line="276" w:lineRule="auto"/>
        <w:jc w:val="both"/>
        <w:rPr>
          <w:rFonts w:ascii="Arial" w:hAnsi="Arial" w:cs="Arial"/>
          <w:lang w:val="en-GB"/>
        </w:rPr>
      </w:pPr>
      <w:r w:rsidRPr="009303C1">
        <w:rPr>
          <w:rFonts w:ascii="Arial" w:hAnsi="Arial" w:cs="Arial"/>
          <w:lang w:val="en-GB"/>
        </w:rPr>
        <w:t xml:space="preserve">Reducing gross national debt and managing expenditure </w:t>
      </w:r>
    </w:p>
    <w:p w14:paraId="7DA99FFA" w14:textId="77777777" w:rsidR="004168D5" w:rsidRPr="009303C1" w:rsidRDefault="004168D5" w:rsidP="004168D5">
      <w:pPr>
        <w:pStyle w:val="ListParagraph"/>
        <w:numPr>
          <w:ilvl w:val="0"/>
          <w:numId w:val="9"/>
        </w:numPr>
        <w:autoSpaceDE w:val="0"/>
        <w:autoSpaceDN w:val="0"/>
        <w:adjustRightInd w:val="0"/>
        <w:spacing w:after="0" w:line="276" w:lineRule="auto"/>
        <w:jc w:val="both"/>
        <w:rPr>
          <w:rFonts w:ascii="Arial" w:hAnsi="Arial" w:cs="Arial"/>
          <w:lang w:val="en-GB"/>
        </w:rPr>
      </w:pPr>
      <w:r w:rsidRPr="009303C1">
        <w:rPr>
          <w:rFonts w:ascii="Arial" w:hAnsi="Arial" w:cs="Arial"/>
          <w:lang w:val="en-GB"/>
        </w:rPr>
        <w:t xml:space="preserve">Supporting the vulnerable </w:t>
      </w:r>
    </w:p>
    <w:p w14:paraId="6F6B4735" w14:textId="77777777" w:rsidR="004168D5" w:rsidRPr="009303C1" w:rsidRDefault="004168D5" w:rsidP="004168D5">
      <w:pPr>
        <w:pStyle w:val="ListParagraph"/>
        <w:numPr>
          <w:ilvl w:val="0"/>
          <w:numId w:val="9"/>
        </w:numPr>
        <w:autoSpaceDE w:val="0"/>
        <w:autoSpaceDN w:val="0"/>
        <w:adjustRightInd w:val="0"/>
        <w:spacing w:after="0" w:line="276" w:lineRule="auto"/>
        <w:jc w:val="both"/>
        <w:rPr>
          <w:rFonts w:ascii="Arial" w:hAnsi="Arial" w:cs="Arial"/>
          <w:lang w:val="en-GB"/>
        </w:rPr>
      </w:pPr>
      <w:r w:rsidRPr="009303C1">
        <w:rPr>
          <w:rFonts w:ascii="Arial" w:hAnsi="Arial" w:cs="Arial"/>
          <w:lang w:val="en-GB"/>
        </w:rPr>
        <w:t xml:space="preserve">Committing to no tax increases </w:t>
      </w:r>
    </w:p>
    <w:p w14:paraId="0197B32B" w14:textId="77777777" w:rsidR="004168D5" w:rsidRPr="009303C1" w:rsidRDefault="004168D5" w:rsidP="004168D5">
      <w:pPr>
        <w:pStyle w:val="ListParagraph"/>
        <w:numPr>
          <w:ilvl w:val="0"/>
          <w:numId w:val="9"/>
        </w:numPr>
        <w:autoSpaceDE w:val="0"/>
        <w:autoSpaceDN w:val="0"/>
        <w:adjustRightInd w:val="0"/>
        <w:spacing w:after="0" w:line="276" w:lineRule="auto"/>
        <w:jc w:val="both"/>
        <w:rPr>
          <w:rFonts w:ascii="Arial" w:hAnsi="Arial" w:cs="Arial"/>
          <w:lang w:val="en-GB"/>
        </w:rPr>
      </w:pPr>
      <w:r w:rsidRPr="009303C1">
        <w:rPr>
          <w:rFonts w:ascii="Arial" w:hAnsi="Arial" w:cs="Arial"/>
          <w:lang w:val="en-GB"/>
        </w:rPr>
        <w:t>Committing to the bolstering of Corruption Busting Institutions</w:t>
      </w:r>
    </w:p>
    <w:p w14:paraId="33C1364A"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164C7B2B" w14:textId="77777777" w:rsidR="004168D5" w:rsidRPr="009303C1" w:rsidRDefault="004168D5" w:rsidP="004168D5">
      <w:pPr>
        <w:autoSpaceDE w:val="0"/>
        <w:autoSpaceDN w:val="0"/>
        <w:adjustRightInd w:val="0"/>
        <w:spacing w:after="0" w:line="276" w:lineRule="auto"/>
        <w:jc w:val="both"/>
        <w:rPr>
          <w:rFonts w:ascii="Arial" w:hAnsi="Arial" w:cs="Arial"/>
          <w:lang w:val="en-GB"/>
        </w:rPr>
      </w:pPr>
      <w:r w:rsidRPr="009303C1">
        <w:rPr>
          <w:rFonts w:ascii="Arial" w:hAnsi="Arial" w:cs="Arial"/>
          <w:lang w:val="en-GB"/>
        </w:rPr>
        <w:t xml:space="preserve">To realize the above set of expectations, the Minister must from the outset place an emphasis on achieving fiscal sustainability by ensuring that South Africa remains on course to achieve the fiscal targets set in the 2022 February budget. Since its estimations were made, global and local conditions have worsened significantly, and growth expectations have been revised downwards as a consequence. As such, now more than ever, the attainment of the budget’s fiscal targets can only be the function of firm cost containment measures. </w:t>
      </w:r>
    </w:p>
    <w:p w14:paraId="0F1DEE23"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0A4577D1" w14:textId="70E5AF08" w:rsidR="004168D5" w:rsidRPr="009303C1" w:rsidRDefault="004168D5" w:rsidP="004168D5">
      <w:pPr>
        <w:autoSpaceDE w:val="0"/>
        <w:autoSpaceDN w:val="0"/>
        <w:adjustRightInd w:val="0"/>
        <w:spacing w:after="0" w:line="276" w:lineRule="auto"/>
        <w:jc w:val="both"/>
        <w:rPr>
          <w:rFonts w:ascii="Arial" w:hAnsi="Arial" w:cs="Arial"/>
          <w:lang w:val="en-GB"/>
        </w:rPr>
      </w:pPr>
      <w:r w:rsidRPr="009303C1">
        <w:rPr>
          <w:rFonts w:ascii="Arial" w:hAnsi="Arial" w:cs="Arial"/>
          <w:lang w:val="en-GB"/>
        </w:rPr>
        <w:t>Given the current  trends of upward spiralling costs of living, and the devastation of an unreliable energy supply, it would be a particularly daunting task as this very necessary approach is one that will require debt reduction measures, an acceleration of economic growth and prudent expenditure management. This undertaking must strike a balance between ensuring support to the most vulnerable in our society and address severe service delivery deficiencies whilst not relying on any tax increases. It must, at the same time, also provide a firm commitment to the bolstering of institutions that combat corruption and organized crime.</w:t>
      </w:r>
    </w:p>
    <w:p w14:paraId="26124683" w14:textId="77777777" w:rsidR="004168D5" w:rsidRPr="009303C1" w:rsidRDefault="004168D5" w:rsidP="004168D5">
      <w:pPr>
        <w:pStyle w:val="NormalWeb"/>
        <w:shd w:val="clear" w:color="auto" w:fill="FFFFFF"/>
        <w:spacing w:before="0" w:beforeAutospacing="0" w:after="0" w:afterAutospacing="0" w:line="276" w:lineRule="auto"/>
        <w:jc w:val="both"/>
        <w:rPr>
          <w:rFonts w:ascii="Arial" w:hAnsi="Arial" w:cs="Arial"/>
          <w:sz w:val="22"/>
          <w:szCs w:val="22"/>
        </w:rPr>
      </w:pPr>
    </w:p>
    <w:p w14:paraId="2627C68D" w14:textId="77777777" w:rsidR="004168D5" w:rsidRPr="009303C1" w:rsidRDefault="004168D5" w:rsidP="004168D5">
      <w:pPr>
        <w:pStyle w:val="NormalWeb"/>
        <w:shd w:val="clear" w:color="auto" w:fill="FFFFFF"/>
        <w:spacing w:before="0" w:beforeAutospacing="0" w:after="0" w:afterAutospacing="0" w:line="276" w:lineRule="auto"/>
        <w:jc w:val="both"/>
        <w:rPr>
          <w:rFonts w:ascii="Arial" w:hAnsi="Arial" w:cs="Arial"/>
          <w:sz w:val="22"/>
          <w:szCs w:val="22"/>
        </w:rPr>
      </w:pPr>
    </w:p>
    <w:p w14:paraId="5EF8DED5" w14:textId="7E8E366E" w:rsidR="004168D5" w:rsidRPr="001E040F" w:rsidRDefault="004168D5" w:rsidP="004168D5">
      <w:pPr>
        <w:pStyle w:val="Heading1"/>
        <w:numPr>
          <w:ilvl w:val="0"/>
          <w:numId w:val="30"/>
        </w:numPr>
        <w:spacing w:before="0" w:line="276" w:lineRule="auto"/>
        <w:jc w:val="both"/>
        <w:rPr>
          <w:rFonts w:ascii="Arial" w:hAnsi="Arial" w:cs="Arial"/>
          <w:b/>
          <w:bCs/>
          <w:color w:val="0070C0"/>
          <w:sz w:val="22"/>
          <w:szCs w:val="22"/>
          <w:u w:val="single"/>
        </w:rPr>
      </w:pPr>
      <w:bookmarkStart w:id="3" w:name="_Toc116638083"/>
      <w:r w:rsidRPr="001E040F">
        <w:rPr>
          <w:rFonts w:ascii="Arial" w:hAnsi="Arial" w:cs="Arial"/>
          <w:b/>
          <w:bCs/>
          <w:color w:val="0070C0"/>
          <w:sz w:val="22"/>
          <w:szCs w:val="22"/>
          <w:u w:val="single"/>
        </w:rPr>
        <w:t>Establish A Base for Resilient Economic Growth</w:t>
      </w:r>
      <w:bookmarkEnd w:id="3"/>
      <w:r w:rsidRPr="001E040F">
        <w:rPr>
          <w:rFonts w:ascii="Arial" w:hAnsi="Arial" w:cs="Arial"/>
          <w:b/>
          <w:bCs/>
          <w:color w:val="0070C0"/>
          <w:sz w:val="22"/>
          <w:szCs w:val="22"/>
          <w:u w:val="single"/>
        </w:rPr>
        <w:t xml:space="preserve"> </w:t>
      </w:r>
    </w:p>
    <w:p w14:paraId="0C897E24"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11B8E454" w14:textId="0B53BBF9" w:rsidR="004168D5" w:rsidRPr="009303C1" w:rsidRDefault="004168D5" w:rsidP="004168D5">
      <w:pPr>
        <w:autoSpaceDE w:val="0"/>
        <w:autoSpaceDN w:val="0"/>
        <w:adjustRightInd w:val="0"/>
        <w:spacing w:after="0" w:line="276" w:lineRule="auto"/>
        <w:jc w:val="both"/>
        <w:rPr>
          <w:rFonts w:ascii="Arial" w:hAnsi="Arial" w:cs="Arial"/>
          <w:lang w:val="en-GB"/>
        </w:rPr>
      </w:pPr>
      <w:r w:rsidRPr="009303C1">
        <w:rPr>
          <w:rFonts w:ascii="Arial" w:hAnsi="Arial" w:cs="Arial"/>
          <w:lang w:val="en-GB"/>
        </w:rPr>
        <w:t>Economic indicators point to the fact that South Africa is trapped in a vicious low growth cycle. There are many factors, most of which are under control of the government, that reinforce one another in this regard. Last year saw the South African economy expand by 4.9%. This year the economy is expected to grow by 1.7%</w:t>
      </w:r>
      <w:r w:rsidRPr="009303C1">
        <w:rPr>
          <w:rStyle w:val="FootnoteReference"/>
          <w:rFonts w:ascii="Arial" w:hAnsi="Arial" w:cs="Arial"/>
          <w:lang w:val="en-GB"/>
        </w:rPr>
        <w:footnoteReference w:id="3"/>
      </w:r>
      <w:r w:rsidRPr="009303C1">
        <w:rPr>
          <w:rFonts w:ascii="Arial" w:hAnsi="Arial" w:cs="Arial"/>
          <w:lang w:val="en-GB"/>
        </w:rPr>
        <w:t xml:space="preserve">, revised down from </w:t>
      </w:r>
      <w:r w:rsidR="00A11826" w:rsidRPr="009303C1">
        <w:rPr>
          <w:rFonts w:ascii="Arial" w:hAnsi="Arial" w:cs="Arial"/>
          <w:lang w:val="en-GB"/>
        </w:rPr>
        <w:t xml:space="preserve">the </w:t>
      </w:r>
      <w:r w:rsidRPr="009303C1">
        <w:rPr>
          <w:rFonts w:ascii="Arial" w:hAnsi="Arial" w:cs="Arial"/>
          <w:lang w:val="en-GB"/>
        </w:rPr>
        <w:t xml:space="preserve">2022 Budget’s estimate of 2.1%. Growth in output reached 1.9% in the first quarter, decreased by 0.7% in the second quarter and is forecast to grow at 0.7% and 0.4% in the third and fourth quarters respectively. </w:t>
      </w:r>
      <w:r w:rsidRPr="009303C1">
        <w:rPr>
          <w:rFonts w:ascii="Arial" w:hAnsi="Arial" w:cs="Arial"/>
          <w:lang w:val="en-GB"/>
        </w:rPr>
        <w:lastRenderedPageBreak/>
        <w:t>In the medium term the economy is forecast to expand by 1.4% in 2023 and by 1.7% in 2024, below previous projections of the budget for both years.</w:t>
      </w:r>
    </w:p>
    <w:p w14:paraId="7D1C154C"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3969F9F3" w14:textId="77777777" w:rsidR="004168D5" w:rsidRPr="009303C1" w:rsidRDefault="004168D5" w:rsidP="004168D5">
      <w:pPr>
        <w:autoSpaceDE w:val="0"/>
        <w:autoSpaceDN w:val="0"/>
        <w:adjustRightInd w:val="0"/>
        <w:spacing w:after="0" w:line="276" w:lineRule="auto"/>
        <w:jc w:val="both"/>
        <w:rPr>
          <w:rFonts w:ascii="Arial" w:hAnsi="Arial" w:cs="Arial"/>
          <w:lang w:val="en-GB"/>
        </w:rPr>
      </w:pPr>
      <w:r w:rsidRPr="009303C1">
        <w:rPr>
          <w:rFonts w:ascii="Arial" w:hAnsi="Arial" w:cs="Arial"/>
          <w:lang w:val="en-GB"/>
        </w:rPr>
        <w:t>Low economic growth reduces tax revenue and increases deficit spending, which leads to even more government borrowing. Higher debt raises country risk resulting in higher servicing costs, which constrains access to capital, and in turn further lowers growth. These constraints are compounded by poor governance at local, provincial, and government levels, barely functioning state-owned enterprises, and corruption on an industrial scale.</w:t>
      </w:r>
    </w:p>
    <w:p w14:paraId="31A6A423"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60F3A9C8" w14:textId="77777777" w:rsidR="004168D5" w:rsidRPr="009303C1" w:rsidRDefault="004168D5" w:rsidP="004168D5">
      <w:pPr>
        <w:autoSpaceDE w:val="0"/>
        <w:autoSpaceDN w:val="0"/>
        <w:adjustRightInd w:val="0"/>
        <w:spacing w:after="0" w:line="276" w:lineRule="auto"/>
        <w:jc w:val="both"/>
        <w:rPr>
          <w:rFonts w:ascii="Arial" w:hAnsi="Arial" w:cs="Arial"/>
          <w:lang w:val="en-GB"/>
        </w:rPr>
      </w:pPr>
      <w:r w:rsidRPr="009303C1">
        <w:rPr>
          <w:rFonts w:ascii="Arial" w:hAnsi="Arial" w:cs="Arial"/>
          <w:lang w:val="en-GB"/>
        </w:rPr>
        <w:t xml:space="preserve">The structural weaknesses in the South African economy severely constrain its ability to remain resilient in the face of growing international uncertainty. Without deregulating the rigid policy environment, which inhibits economic activity, building economic resilience will not be attainable, inflation will continue to surge, the rate of unemployment will spiral upwards and economic growth will remain meagre, if at all positive. </w:t>
      </w:r>
    </w:p>
    <w:p w14:paraId="7EC53A0A"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6F509069" w14:textId="77777777" w:rsidR="004168D5" w:rsidRPr="009303C1" w:rsidRDefault="004168D5" w:rsidP="004168D5">
      <w:pPr>
        <w:autoSpaceDE w:val="0"/>
        <w:autoSpaceDN w:val="0"/>
        <w:adjustRightInd w:val="0"/>
        <w:spacing w:after="0" w:line="276" w:lineRule="auto"/>
        <w:jc w:val="both"/>
        <w:rPr>
          <w:rFonts w:ascii="Arial" w:hAnsi="Arial" w:cs="Arial"/>
          <w:lang w:val="en-GB"/>
        </w:rPr>
      </w:pPr>
      <w:r w:rsidRPr="009303C1">
        <w:rPr>
          <w:rFonts w:ascii="Arial" w:hAnsi="Arial" w:cs="Arial"/>
          <w:lang w:val="en-GB"/>
        </w:rPr>
        <w:t>The South African economy must undergo large scale economic reform for which the removal of many of the barriers that government has imposed would be the catalyst.</w:t>
      </w:r>
    </w:p>
    <w:p w14:paraId="00C0F2E0"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0532300E"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716A30CC" w14:textId="6CCC0612" w:rsidR="004168D5" w:rsidRPr="001E040F" w:rsidRDefault="004168D5" w:rsidP="004168D5">
      <w:pPr>
        <w:pStyle w:val="Heading2"/>
        <w:spacing w:before="0" w:line="276" w:lineRule="auto"/>
        <w:jc w:val="both"/>
        <w:rPr>
          <w:rFonts w:ascii="Arial" w:hAnsi="Arial" w:cs="Arial"/>
          <w:b/>
          <w:bCs/>
          <w:color w:val="0070C0"/>
          <w:sz w:val="22"/>
          <w:szCs w:val="22"/>
        </w:rPr>
      </w:pPr>
      <w:bookmarkStart w:id="4" w:name="_Toc116638084"/>
      <w:r w:rsidRPr="001E040F">
        <w:rPr>
          <w:rFonts w:ascii="Arial" w:hAnsi="Arial" w:cs="Arial"/>
          <w:b/>
          <w:bCs/>
          <w:color w:val="0070C0"/>
          <w:sz w:val="22"/>
          <w:szCs w:val="22"/>
        </w:rPr>
        <w:t xml:space="preserve">2.1. </w:t>
      </w:r>
      <w:r w:rsidRPr="001E040F">
        <w:rPr>
          <w:rFonts w:ascii="Arial" w:hAnsi="Arial" w:cs="Arial"/>
          <w:b/>
          <w:bCs/>
          <w:color w:val="0070C0"/>
          <w:sz w:val="22"/>
          <w:szCs w:val="22"/>
        </w:rPr>
        <w:tab/>
        <w:t>No More Bailouts for State-Owned Entities (SOE’s)</w:t>
      </w:r>
      <w:bookmarkEnd w:id="4"/>
    </w:p>
    <w:p w14:paraId="11DEF1CA"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30EE875C" w14:textId="77777777" w:rsidR="004168D5" w:rsidRPr="009303C1" w:rsidRDefault="004168D5" w:rsidP="004168D5">
      <w:pPr>
        <w:autoSpaceDE w:val="0"/>
        <w:autoSpaceDN w:val="0"/>
        <w:adjustRightInd w:val="0"/>
        <w:spacing w:after="0" w:line="276" w:lineRule="auto"/>
        <w:jc w:val="both"/>
        <w:rPr>
          <w:rFonts w:ascii="Arial" w:hAnsi="Arial" w:cs="Arial"/>
          <w:lang w:val="en-GB"/>
        </w:rPr>
      </w:pPr>
      <w:r w:rsidRPr="009303C1">
        <w:rPr>
          <w:rFonts w:ascii="Arial" w:hAnsi="Arial" w:cs="Arial"/>
          <w:lang w:val="en-GB"/>
        </w:rPr>
        <w:t xml:space="preserve">Continuous bailouts to SOE’s have served to finance failing entities’ debt services, salaries, and current spending on suppliers. Apart from the contribution to employee consumption, specifically the “millionaire manager” class, there is no perceivable value added to growth and development in the sectors wherein these entities operate. </w:t>
      </w:r>
    </w:p>
    <w:p w14:paraId="49CB9802"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2293586C" w14:textId="77777777" w:rsidR="004168D5" w:rsidRPr="009303C1" w:rsidRDefault="004168D5" w:rsidP="004168D5">
      <w:pPr>
        <w:autoSpaceDE w:val="0"/>
        <w:autoSpaceDN w:val="0"/>
        <w:adjustRightInd w:val="0"/>
        <w:spacing w:after="0" w:line="276" w:lineRule="auto"/>
        <w:jc w:val="both"/>
        <w:rPr>
          <w:rFonts w:ascii="Arial" w:hAnsi="Arial" w:cs="Arial"/>
          <w:lang w:val="en-GB"/>
        </w:rPr>
      </w:pPr>
      <w:r w:rsidRPr="009303C1">
        <w:rPr>
          <w:rFonts w:ascii="Arial" w:hAnsi="Arial" w:cs="Arial"/>
          <w:lang w:val="en-GB"/>
        </w:rPr>
        <w:t xml:space="preserve">These high-risk investments have yielded nothing but negative rates of return for the economy, attesting that even in the face of large revenue shortfalls and tightening borrowing constraints, the government is willing to draw from other state-financing sources to fund deteriorating patronage networks. This has resulted in resources being taken away from other expenditure items that serve as actual and valid growth-generating opportunities. Despite the severe cost to the economy, there is no apparent urgency to address the fundamental problems of SOE failure. If this is not the result of sheer bureaucratic inertia, it must be that SOEs serve as sources of patronage and vast arrays of vested union and </w:t>
      </w:r>
      <w:proofErr w:type="spellStart"/>
      <w:r w:rsidRPr="009303C1">
        <w:rPr>
          <w:rFonts w:ascii="Arial" w:hAnsi="Arial" w:cs="Arial"/>
          <w:lang w:val="en-GB"/>
        </w:rPr>
        <w:t>tenderpreneur</w:t>
      </w:r>
      <w:proofErr w:type="spellEnd"/>
      <w:r w:rsidRPr="009303C1">
        <w:rPr>
          <w:rFonts w:ascii="Arial" w:hAnsi="Arial" w:cs="Arial"/>
          <w:lang w:val="en-GB"/>
        </w:rPr>
        <w:t xml:space="preserve"> interests.</w:t>
      </w:r>
    </w:p>
    <w:p w14:paraId="09B3FCF5"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58FBEEB0" w14:textId="77777777" w:rsidR="004168D5" w:rsidRPr="009303C1" w:rsidRDefault="004168D5" w:rsidP="004168D5">
      <w:pPr>
        <w:autoSpaceDE w:val="0"/>
        <w:autoSpaceDN w:val="0"/>
        <w:adjustRightInd w:val="0"/>
        <w:spacing w:after="0" w:line="276" w:lineRule="auto"/>
        <w:jc w:val="both"/>
        <w:rPr>
          <w:rFonts w:ascii="Arial" w:hAnsi="Arial" w:cs="Arial"/>
          <w:lang w:val="en-GB"/>
        </w:rPr>
      </w:pPr>
      <w:bookmarkStart w:id="5" w:name="_Hlk117507764"/>
      <w:r w:rsidRPr="009303C1">
        <w:rPr>
          <w:rFonts w:ascii="Arial" w:hAnsi="Arial" w:cs="Arial"/>
          <w:lang w:val="en-GB"/>
        </w:rPr>
        <w:t xml:space="preserve">Minister </w:t>
      </w:r>
      <w:proofErr w:type="spellStart"/>
      <w:r w:rsidRPr="009303C1">
        <w:rPr>
          <w:rFonts w:ascii="Arial" w:hAnsi="Arial" w:cs="Arial"/>
          <w:lang w:val="en-GB"/>
        </w:rPr>
        <w:t>Godongwana</w:t>
      </w:r>
      <w:proofErr w:type="spellEnd"/>
      <w:r w:rsidRPr="009303C1">
        <w:rPr>
          <w:rFonts w:ascii="Arial" w:hAnsi="Arial" w:cs="Arial"/>
          <w:lang w:val="en-GB"/>
        </w:rPr>
        <w:t xml:space="preserve"> must therefore remain firm on his pledge to not reprioritise budget items to bail out failing SOEs. </w:t>
      </w:r>
      <w:bookmarkEnd w:id="5"/>
      <w:r w:rsidRPr="009303C1">
        <w:rPr>
          <w:rFonts w:ascii="Arial" w:hAnsi="Arial" w:cs="Arial"/>
          <w:lang w:val="en-GB"/>
        </w:rPr>
        <w:t>The recurrent bailouts crowd out infrastructure investment and expose the fallacy of the government’s empty rhetoric on implementing structural economic reforms. This is reinforced by the lack of incentives to exercise responsible management on the part of SOE’s as the taxpayer carries the burden of inefficient management, not the entity itself. Cabinet cannot continue to delay the inevitable collapse of SOEs in the misplaced hope that the public’s tolerance is endless and that obsolete SOEs will eventually self-correct, turn profits, and fund themselves from their own balance sheets. Failure to act now by opening the sector to private sector investment will keep the country locked in an indefinite low growth trap and will hamper any attempt at stabilising the economy.</w:t>
      </w:r>
    </w:p>
    <w:p w14:paraId="5400ABCE" w14:textId="77777777" w:rsidR="004168D5" w:rsidRPr="009303C1" w:rsidRDefault="004168D5" w:rsidP="004168D5">
      <w:pPr>
        <w:spacing w:after="0" w:line="276" w:lineRule="auto"/>
        <w:jc w:val="both"/>
        <w:rPr>
          <w:rFonts w:ascii="Arial" w:hAnsi="Arial" w:cs="Arial"/>
          <w:lang w:val="en-GB"/>
        </w:rPr>
      </w:pPr>
    </w:p>
    <w:p w14:paraId="38CBDDD2" w14:textId="38755E07"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t xml:space="preserve">The Minister has in the past also displayed an interest in reinstating prescribed assets i.e., forcing private pension funds to invest their assets in government bonds and state-owned </w:t>
      </w:r>
      <w:r w:rsidRPr="009303C1">
        <w:rPr>
          <w:rFonts w:ascii="Arial" w:hAnsi="Arial" w:cs="Arial"/>
          <w:lang w:val="en-GB"/>
        </w:rPr>
        <w:lastRenderedPageBreak/>
        <w:t>enterprises (SOEs). This marks a significant risk to the fiscus as well as investor confidence. Private funds must not be utilised to subsidise the failures of the Government and its SOE’s. Furthermore, transferring debt from SOEs to the national balance sheet remains a non-viable option.</w:t>
      </w:r>
    </w:p>
    <w:p w14:paraId="00098EEB" w14:textId="77777777" w:rsidR="004168D5" w:rsidRPr="009303C1" w:rsidRDefault="004168D5" w:rsidP="004168D5">
      <w:pPr>
        <w:spacing w:after="0" w:line="276" w:lineRule="auto"/>
        <w:jc w:val="both"/>
        <w:rPr>
          <w:rFonts w:ascii="Arial" w:hAnsi="Arial" w:cs="Arial"/>
          <w:lang w:val="en-GB"/>
        </w:rPr>
      </w:pPr>
    </w:p>
    <w:p w14:paraId="09BC87BE" w14:textId="77777777" w:rsidR="004168D5" w:rsidRPr="009303C1" w:rsidRDefault="004168D5" w:rsidP="004168D5">
      <w:pPr>
        <w:spacing w:after="0" w:line="276" w:lineRule="auto"/>
        <w:jc w:val="both"/>
        <w:rPr>
          <w:rFonts w:ascii="Arial" w:hAnsi="Arial" w:cs="Arial"/>
          <w:lang w:val="en-GB"/>
        </w:rPr>
      </w:pPr>
    </w:p>
    <w:p w14:paraId="20B04A9C" w14:textId="3A07FB84" w:rsidR="004168D5" w:rsidRPr="001E040F" w:rsidRDefault="004168D5" w:rsidP="004168D5">
      <w:pPr>
        <w:pStyle w:val="Heading2"/>
        <w:spacing w:before="0" w:line="276" w:lineRule="auto"/>
        <w:jc w:val="both"/>
        <w:rPr>
          <w:rFonts w:ascii="Arial" w:hAnsi="Arial" w:cs="Arial"/>
          <w:b/>
          <w:bCs/>
          <w:color w:val="0070C0"/>
          <w:sz w:val="22"/>
          <w:szCs w:val="22"/>
        </w:rPr>
      </w:pPr>
      <w:bookmarkStart w:id="6" w:name="_Toc116638085"/>
      <w:r w:rsidRPr="001E040F">
        <w:rPr>
          <w:rFonts w:ascii="Arial" w:hAnsi="Arial" w:cs="Arial"/>
          <w:b/>
          <w:bCs/>
          <w:color w:val="0070C0"/>
          <w:sz w:val="22"/>
          <w:szCs w:val="22"/>
        </w:rPr>
        <w:t xml:space="preserve">2.2. </w:t>
      </w:r>
      <w:r w:rsidRPr="001E040F">
        <w:rPr>
          <w:rFonts w:ascii="Arial" w:hAnsi="Arial" w:cs="Arial"/>
          <w:b/>
          <w:bCs/>
          <w:color w:val="0070C0"/>
          <w:sz w:val="22"/>
          <w:szCs w:val="22"/>
        </w:rPr>
        <w:tab/>
      </w:r>
      <w:bookmarkStart w:id="7" w:name="_Hlk117507773"/>
      <w:r w:rsidRPr="001E040F">
        <w:rPr>
          <w:rFonts w:ascii="Arial" w:hAnsi="Arial" w:cs="Arial"/>
          <w:b/>
          <w:bCs/>
          <w:color w:val="0070C0"/>
          <w:sz w:val="22"/>
          <w:szCs w:val="22"/>
        </w:rPr>
        <w:t>Energy Security and Loadshedding</w:t>
      </w:r>
      <w:bookmarkEnd w:id="6"/>
      <w:bookmarkEnd w:id="7"/>
    </w:p>
    <w:p w14:paraId="262B07DA" w14:textId="77777777" w:rsidR="004168D5" w:rsidRPr="009303C1" w:rsidRDefault="004168D5" w:rsidP="004168D5">
      <w:pPr>
        <w:spacing w:after="0" w:line="276" w:lineRule="auto"/>
        <w:jc w:val="both"/>
        <w:rPr>
          <w:rFonts w:ascii="Arial" w:hAnsi="Arial" w:cs="Arial"/>
          <w:lang w:val="en-GB"/>
        </w:rPr>
      </w:pPr>
    </w:p>
    <w:p w14:paraId="5BD8FAE7" w14:textId="77777777" w:rsidR="004168D5" w:rsidRPr="009303C1" w:rsidRDefault="004168D5" w:rsidP="004168D5">
      <w:pPr>
        <w:spacing w:after="0" w:line="276" w:lineRule="auto"/>
        <w:jc w:val="both"/>
        <w:rPr>
          <w:rFonts w:ascii="Arial" w:hAnsi="Arial" w:cs="Arial"/>
          <w:lang w:val="en-GB"/>
        </w:rPr>
      </w:pPr>
      <w:bookmarkStart w:id="8" w:name="_Hlk117507800"/>
      <w:r w:rsidRPr="009303C1">
        <w:rPr>
          <w:rFonts w:ascii="Arial" w:hAnsi="Arial" w:cs="Arial"/>
          <w:lang w:val="en-GB"/>
        </w:rPr>
        <w:t xml:space="preserve">Uncertain energy supply coupled with an unstable political environment has drastically impacted the development of South Africa and severely limited the growth potential of our economy. </w:t>
      </w:r>
      <w:bookmarkEnd w:id="8"/>
      <w:r w:rsidRPr="009303C1">
        <w:rPr>
          <w:rFonts w:ascii="Arial" w:hAnsi="Arial" w:cs="Arial"/>
          <w:lang w:val="en-GB"/>
        </w:rPr>
        <w:t xml:space="preserve">Not only does it stall output, but the uncertain environment generates cynicism and severely damages investor confidence as any prospect for a positive yield is hampered by self-manufactured continuous power failures. </w:t>
      </w:r>
    </w:p>
    <w:p w14:paraId="2E1E5F6A" w14:textId="77777777" w:rsidR="004168D5" w:rsidRPr="009303C1" w:rsidRDefault="004168D5" w:rsidP="004168D5">
      <w:pPr>
        <w:spacing w:after="0" w:line="276" w:lineRule="auto"/>
        <w:jc w:val="both"/>
        <w:rPr>
          <w:rFonts w:ascii="Arial" w:hAnsi="Arial" w:cs="Arial"/>
          <w:lang w:val="en-GB"/>
        </w:rPr>
      </w:pPr>
    </w:p>
    <w:p w14:paraId="5E3F23C6" w14:textId="77777777" w:rsidR="004168D5" w:rsidRPr="009303C1" w:rsidRDefault="004168D5" w:rsidP="004168D5">
      <w:pPr>
        <w:spacing w:after="0" w:line="276" w:lineRule="auto"/>
        <w:jc w:val="both"/>
        <w:rPr>
          <w:rFonts w:ascii="Arial" w:hAnsi="Arial" w:cs="Arial"/>
          <w:b/>
          <w:bCs/>
          <w:lang w:val="en-GB"/>
        </w:rPr>
      </w:pPr>
      <w:r w:rsidRPr="009303C1">
        <w:rPr>
          <w:rFonts w:ascii="Arial" w:hAnsi="Arial" w:cs="Arial"/>
          <w:lang w:val="en-GB"/>
        </w:rPr>
        <w:t>Today, Eskom is representative of the failure of centralised government and its inability to provide sustained energy supply as rolling blackouts have been estimated</w:t>
      </w:r>
      <w:r w:rsidRPr="009303C1">
        <w:rPr>
          <w:rStyle w:val="FootnoteReference"/>
          <w:rFonts w:ascii="Arial" w:hAnsi="Arial" w:cs="Arial"/>
          <w:lang w:val="en-GB"/>
        </w:rPr>
        <w:footnoteReference w:id="4"/>
      </w:r>
      <w:r w:rsidRPr="009303C1">
        <w:rPr>
          <w:rFonts w:ascii="Arial" w:hAnsi="Arial" w:cs="Arial"/>
          <w:lang w:val="en-GB"/>
        </w:rPr>
        <w:t xml:space="preserve"> to cost our economy between R1.5 billion and R4 billion per day. The embattled state-owned enterprise sector remains the greatest barricade to the realisation of virtuous economic growth in South Africa. </w:t>
      </w:r>
    </w:p>
    <w:p w14:paraId="374C3A99" w14:textId="77777777" w:rsidR="004168D5" w:rsidRPr="009303C1" w:rsidRDefault="004168D5" w:rsidP="004168D5">
      <w:pPr>
        <w:spacing w:after="0" w:line="276" w:lineRule="auto"/>
        <w:jc w:val="both"/>
        <w:rPr>
          <w:rFonts w:ascii="Arial" w:hAnsi="Arial" w:cs="Arial"/>
          <w:lang w:val="en-GB"/>
        </w:rPr>
      </w:pPr>
    </w:p>
    <w:p w14:paraId="0270C6FE" w14:textId="3678B45A"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t xml:space="preserve">With outdated infrastructure, insurmountable debt, and significant cost overruns the entity is empirically on the brink of collapse. In this regard, Eskom in 2022 serves as the ideal case study as to why the  government energy monopoly cannot be relied on as the sole national energy supplier., Since the start of </w:t>
      </w:r>
      <w:r w:rsidR="001F1206" w:rsidRPr="009303C1">
        <w:rPr>
          <w:rFonts w:ascii="Arial" w:hAnsi="Arial" w:cs="Arial"/>
          <w:lang w:val="en-GB"/>
        </w:rPr>
        <w:t xml:space="preserve">rolling blackouts </w:t>
      </w:r>
      <w:r w:rsidRPr="009303C1">
        <w:rPr>
          <w:rFonts w:ascii="Arial" w:hAnsi="Arial" w:cs="Arial"/>
          <w:lang w:val="en-GB"/>
        </w:rPr>
        <w:t>in 2007, the ANC government has  failed to  procure an adequate amount of electricity supply to fuel the economy and satisfy consumer demand.</w:t>
      </w:r>
    </w:p>
    <w:p w14:paraId="3B8EB5B9" w14:textId="77777777" w:rsidR="004168D5" w:rsidRPr="009303C1" w:rsidRDefault="004168D5" w:rsidP="004168D5">
      <w:pPr>
        <w:spacing w:after="0" w:line="276" w:lineRule="auto"/>
        <w:jc w:val="both"/>
        <w:rPr>
          <w:rFonts w:ascii="Arial" w:hAnsi="Arial" w:cs="Arial"/>
          <w:lang w:val="en-GB"/>
        </w:rPr>
      </w:pPr>
      <w:bookmarkStart w:id="9" w:name="_Hlk117507819"/>
    </w:p>
    <w:p w14:paraId="6CDE3D91" w14:textId="77777777" w:rsidR="004168D5" w:rsidRPr="009303C1" w:rsidRDefault="004168D5" w:rsidP="004168D5">
      <w:pPr>
        <w:spacing w:after="0" w:line="276" w:lineRule="auto"/>
        <w:jc w:val="both"/>
        <w:rPr>
          <w:rFonts w:ascii="Arial" w:hAnsi="Arial" w:cs="Arial"/>
          <w:b/>
          <w:bCs/>
          <w:lang w:val="en-GB"/>
        </w:rPr>
      </w:pPr>
      <w:r w:rsidRPr="009303C1">
        <w:rPr>
          <w:rFonts w:ascii="Arial" w:hAnsi="Arial" w:cs="Arial"/>
          <w:lang w:val="en-GB"/>
        </w:rPr>
        <w:t xml:space="preserve">There has been much talk regarding solutions for South Africa’s electricity crisis, yet after 15 years of living under scarce energy supply, not enough has been done. </w:t>
      </w:r>
      <w:bookmarkEnd w:id="9"/>
      <w:r w:rsidRPr="009303C1">
        <w:rPr>
          <w:rFonts w:ascii="Arial" w:hAnsi="Arial" w:cs="Arial"/>
          <w:lang w:val="en-GB"/>
        </w:rPr>
        <w:t xml:space="preserve">Without the prospect of privatising electricity generation, South Africa will not be able to generate the economic growth that is required to meet the lofty goals of the NDP by 2030 which aspired to have an estimated  annual growth rate of at least 5%. </w:t>
      </w:r>
    </w:p>
    <w:p w14:paraId="24ECDFD5" w14:textId="77777777" w:rsidR="004168D5" w:rsidRPr="009303C1" w:rsidRDefault="004168D5" w:rsidP="004168D5">
      <w:pPr>
        <w:spacing w:after="0" w:line="276" w:lineRule="auto"/>
        <w:jc w:val="both"/>
        <w:rPr>
          <w:rFonts w:ascii="Arial" w:hAnsi="Arial" w:cs="Arial"/>
          <w:lang w:val="en-GB"/>
        </w:rPr>
      </w:pPr>
    </w:p>
    <w:p w14:paraId="2E53C778" w14:textId="3679E7B9" w:rsidR="004168D5" w:rsidRPr="009303C1" w:rsidRDefault="004168D5" w:rsidP="004168D5">
      <w:pPr>
        <w:spacing w:after="0" w:line="276" w:lineRule="auto"/>
        <w:jc w:val="both"/>
        <w:rPr>
          <w:rFonts w:ascii="Arial" w:hAnsi="Arial" w:cs="Arial"/>
          <w:lang w:val="en-GB"/>
        </w:rPr>
      </w:pPr>
      <w:bookmarkStart w:id="10" w:name="_Hlk117507848"/>
      <w:r w:rsidRPr="009303C1">
        <w:rPr>
          <w:rFonts w:ascii="Arial" w:hAnsi="Arial" w:cs="Arial"/>
          <w:lang w:val="en-GB"/>
        </w:rPr>
        <w:t>Based on this grim energy outlook, the DA reiterates its call for the privatisation of Eskom and the opening up of the energy sector to Independent Power Producers (IPPs). Continued state ownership of the entity has not served to benefit the poor</w:t>
      </w:r>
      <w:bookmarkEnd w:id="10"/>
      <w:r w:rsidRPr="009303C1">
        <w:rPr>
          <w:rFonts w:ascii="Arial" w:hAnsi="Arial" w:cs="Arial"/>
          <w:lang w:val="en-GB"/>
        </w:rPr>
        <w:t xml:space="preserve">, and due to a lack of incentives, never will. In the interim, Eskom must prioritise the streamlining of its procurement processes while letting in massive private capacity to power a growing South Africa.  By opening up the energy sector, innovation and voluntary action will keep the lights on and the wheels of the economy </w:t>
      </w:r>
      <w:r w:rsidR="001F1206" w:rsidRPr="009303C1">
        <w:rPr>
          <w:rFonts w:ascii="Arial" w:hAnsi="Arial" w:cs="Arial"/>
          <w:lang w:val="en-GB"/>
        </w:rPr>
        <w:t xml:space="preserve">moving </w:t>
      </w:r>
      <w:r w:rsidRPr="009303C1">
        <w:rPr>
          <w:rFonts w:ascii="Arial" w:hAnsi="Arial" w:cs="Arial"/>
          <w:lang w:val="en-GB"/>
        </w:rPr>
        <w:t>towards the growth rate needed to address higher employment.</w:t>
      </w:r>
    </w:p>
    <w:p w14:paraId="5F181F4F" w14:textId="77777777" w:rsidR="004168D5" w:rsidRPr="009303C1" w:rsidRDefault="004168D5" w:rsidP="004168D5">
      <w:pPr>
        <w:spacing w:after="0" w:line="276" w:lineRule="auto"/>
        <w:jc w:val="both"/>
        <w:rPr>
          <w:rFonts w:ascii="Arial" w:hAnsi="Arial" w:cs="Arial"/>
          <w:lang w:val="en-GB"/>
        </w:rPr>
      </w:pPr>
    </w:p>
    <w:p w14:paraId="3B75F5F0" w14:textId="77777777"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t xml:space="preserve">Given the already strained fiscus, the Minister must further provide assurance that, under no circumstances, will Treasury reallocate the debt of Eskom to its sovereign debt profile. </w:t>
      </w:r>
    </w:p>
    <w:p w14:paraId="3768C2AB" w14:textId="77777777" w:rsidR="004168D5" w:rsidRPr="009303C1" w:rsidRDefault="004168D5" w:rsidP="004168D5">
      <w:pPr>
        <w:spacing w:after="0" w:line="276" w:lineRule="auto"/>
        <w:jc w:val="both"/>
        <w:rPr>
          <w:rFonts w:ascii="Arial" w:hAnsi="Arial" w:cs="Arial"/>
          <w:lang w:val="en-GB"/>
        </w:rPr>
      </w:pPr>
    </w:p>
    <w:p w14:paraId="4900E2BA" w14:textId="77777777"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lastRenderedPageBreak/>
        <w:t>Treasury must further do more to enable South Africans to become independent of Eskom through firstly instituting a 100% solar power rebate. The DA</w:t>
      </w:r>
      <w:r w:rsidRPr="009303C1">
        <w:rPr>
          <w:rStyle w:val="FootnoteReference"/>
          <w:rFonts w:ascii="Arial" w:hAnsi="Arial" w:cs="Arial"/>
          <w:lang w:val="en-GB"/>
        </w:rPr>
        <w:footnoteReference w:id="5"/>
      </w:r>
      <w:r w:rsidRPr="009303C1">
        <w:rPr>
          <w:rFonts w:ascii="Arial" w:hAnsi="Arial" w:cs="Arial"/>
          <w:lang w:val="en-GB"/>
        </w:rPr>
        <w:t xml:space="preserve"> can commit to setting aside R4 billion over the MTEF in this regard.</w:t>
      </w:r>
    </w:p>
    <w:p w14:paraId="4206D3C9" w14:textId="77777777" w:rsidR="004168D5" w:rsidRPr="009303C1" w:rsidRDefault="004168D5" w:rsidP="004168D5">
      <w:pPr>
        <w:spacing w:after="0" w:line="276" w:lineRule="auto"/>
        <w:jc w:val="both"/>
        <w:rPr>
          <w:rFonts w:ascii="Arial" w:hAnsi="Arial" w:cs="Arial"/>
          <w:lang w:val="en-GB"/>
        </w:rPr>
      </w:pPr>
    </w:p>
    <w:p w14:paraId="1AF7942C" w14:textId="77777777" w:rsidR="004168D5" w:rsidRPr="009303C1" w:rsidRDefault="004168D5" w:rsidP="004168D5">
      <w:pPr>
        <w:spacing w:after="0" w:line="276" w:lineRule="auto"/>
        <w:jc w:val="both"/>
        <w:rPr>
          <w:rFonts w:ascii="Arial" w:hAnsi="Arial" w:cs="Arial"/>
          <w:lang w:val="en-GB"/>
        </w:rPr>
      </w:pPr>
    </w:p>
    <w:p w14:paraId="26FC20C5" w14:textId="50AA5A65" w:rsidR="004168D5" w:rsidRPr="001E040F" w:rsidRDefault="004168D5" w:rsidP="004168D5">
      <w:pPr>
        <w:pStyle w:val="Heading2"/>
        <w:spacing w:before="0" w:line="276" w:lineRule="auto"/>
        <w:jc w:val="both"/>
        <w:rPr>
          <w:rFonts w:ascii="Arial" w:hAnsi="Arial" w:cs="Arial"/>
          <w:b/>
          <w:bCs/>
          <w:color w:val="0070C0"/>
          <w:sz w:val="22"/>
          <w:szCs w:val="22"/>
        </w:rPr>
      </w:pPr>
      <w:bookmarkStart w:id="11" w:name="_Toc116638086"/>
      <w:r w:rsidRPr="001E040F">
        <w:rPr>
          <w:rFonts w:ascii="Arial" w:hAnsi="Arial" w:cs="Arial"/>
          <w:b/>
          <w:bCs/>
          <w:color w:val="0070C0"/>
          <w:sz w:val="22"/>
          <w:szCs w:val="22"/>
        </w:rPr>
        <w:t>2.3.</w:t>
      </w:r>
      <w:r w:rsidRPr="001E040F">
        <w:rPr>
          <w:rFonts w:ascii="Arial" w:hAnsi="Arial" w:cs="Arial"/>
          <w:b/>
          <w:bCs/>
          <w:color w:val="0070C0"/>
          <w:sz w:val="22"/>
          <w:szCs w:val="22"/>
        </w:rPr>
        <w:tab/>
        <w:t xml:space="preserve"> </w:t>
      </w:r>
      <w:bookmarkStart w:id="12" w:name="_Hlk117507943"/>
      <w:r w:rsidRPr="001E040F">
        <w:rPr>
          <w:rFonts w:ascii="Arial" w:hAnsi="Arial" w:cs="Arial"/>
          <w:b/>
          <w:bCs/>
          <w:color w:val="0070C0"/>
          <w:sz w:val="22"/>
          <w:szCs w:val="22"/>
        </w:rPr>
        <w:t>BBBEE (Broad Based Black Economic Empowerment) As a Failed Policy</w:t>
      </w:r>
      <w:bookmarkEnd w:id="11"/>
      <w:r w:rsidRPr="001E040F">
        <w:rPr>
          <w:rFonts w:ascii="Arial" w:hAnsi="Arial" w:cs="Arial"/>
          <w:b/>
          <w:bCs/>
          <w:color w:val="0070C0"/>
          <w:sz w:val="22"/>
          <w:szCs w:val="22"/>
        </w:rPr>
        <w:t xml:space="preserve"> </w:t>
      </w:r>
    </w:p>
    <w:bookmarkEnd w:id="12"/>
    <w:p w14:paraId="3181F5AA" w14:textId="77777777" w:rsidR="004168D5" w:rsidRPr="009303C1" w:rsidRDefault="004168D5" w:rsidP="004168D5">
      <w:pPr>
        <w:spacing w:after="0" w:line="276" w:lineRule="auto"/>
        <w:jc w:val="both"/>
        <w:rPr>
          <w:rFonts w:ascii="Arial" w:hAnsi="Arial" w:cs="Arial"/>
          <w:lang w:val="en-GB"/>
        </w:rPr>
      </w:pPr>
    </w:p>
    <w:p w14:paraId="61BA5B44" w14:textId="16B90D7B"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t xml:space="preserve">Race-based policy in South Africa finds expression primarily in </w:t>
      </w:r>
      <w:r w:rsidR="005144B4" w:rsidRPr="009303C1">
        <w:rPr>
          <w:rFonts w:ascii="Arial" w:hAnsi="Arial" w:cs="Arial"/>
          <w:lang w:val="en-GB"/>
        </w:rPr>
        <w:t>BB</w:t>
      </w:r>
      <w:r w:rsidRPr="009303C1">
        <w:rPr>
          <w:rFonts w:ascii="Arial" w:hAnsi="Arial" w:cs="Arial"/>
          <w:lang w:val="en-GB"/>
        </w:rPr>
        <w:t xml:space="preserve">BEE and Affirmative Action as contained in the Employment Equity Act (EEA). These policies, among others, generate massive and counterproductive distortions in the economy and have effectively served as the primary impediments to labour market participation for those South Africans who are not beneficiaries, yet capable of becoming productive, and competent participants in our economy. </w:t>
      </w:r>
    </w:p>
    <w:p w14:paraId="454C17BE" w14:textId="77777777" w:rsidR="004168D5" w:rsidRPr="009303C1" w:rsidRDefault="004168D5" w:rsidP="004168D5">
      <w:pPr>
        <w:spacing w:after="0" w:line="276" w:lineRule="auto"/>
        <w:jc w:val="both"/>
        <w:rPr>
          <w:rFonts w:ascii="Arial" w:hAnsi="Arial" w:cs="Arial"/>
          <w:lang w:val="en-GB"/>
        </w:rPr>
      </w:pPr>
    </w:p>
    <w:p w14:paraId="1337BE46" w14:textId="29498DE0" w:rsidR="004168D5" w:rsidRPr="009303C1" w:rsidRDefault="004168D5" w:rsidP="004168D5">
      <w:pPr>
        <w:spacing w:after="0" w:line="276" w:lineRule="auto"/>
        <w:jc w:val="both"/>
        <w:rPr>
          <w:rFonts w:ascii="Arial" w:hAnsi="Arial" w:cs="Arial"/>
          <w:lang w:val="en-GB"/>
        </w:rPr>
      </w:pPr>
      <w:bookmarkStart w:id="13" w:name="_Hlk117507959"/>
      <w:r w:rsidRPr="009303C1">
        <w:rPr>
          <w:rFonts w:ascii="Arial" w:hAnsi="Arial" w:cs="Arial"/>
          <w:lang w:val="en-GB"/>
        </w:rPr>
        <w:t xml:space="preserve">Furthermore, race-based </w:t>
      </w:r>
      <w:r w:rsidR="005144B4" w:rsidRPr="009303C1">
        <w:rPr>
          <w:rFonts w:ascii="Arial" w:hAnsi="Arial" w:cs="Arial"/>
          <w:lang w:val="en-GB"/>
        </w:rPr>
        <w:t>BB</w:t>
      </w:r>
      <w:r w:rsidRPr="009303C1">
        <w:rPr>
          <w:rFonts w:ascii="Arial" w:hAnsi="Arial" w:cs="Arial"/>
          <w:lang w:val="en-GB"/>
        </w:rPr>
        <w:t xml:space="preserve">BEE has facilitated corruption and elite enrichment, and race-based </w:t>
      </w:r>
      <w:r w:rsidR="005144B4" w:rsidRPr="009303C1">
        <w:rPr>
          <w:rFonts w:ascii="Arial" w:hAnsi="Arial" w:cs="Arial"/>
          <w:lang w:val="en-GB"/>
        </w:rPr>
        <w:t xml:space="preserve">Affirmative Action </w:t>
      </w:r>
      <w:r w:rsidRPr="009303C1">
        <w:rPr>
          <w:rFonts w:ascii="Arial" w:hAnsi="Arial" w:cs="Arial"/>
          <w:lang w:val="en-GB"/>
        </w:rPr>
        <w:t xml:space="preserve">policy has enabled unskilled cadre deployment. The same case that could be made about Eskom and other countless entities that operate throughout the public and private sectors. </w:t>
      </w:r>
      <w:r w:rsidR="005144B4" w:rsidRPr="009303C1">
        <w:rPr>
          <w:rFonts w:ascii="Arial" w:hAnsi="Arial" w:cs="Arial"/>
          <w:lang w:val="en-GB"/>
        </w:rPr>
        <w:t xml:space="preserve">The </w:t>
      </w:r>
      <w:r w:rsidRPr="009303C1">
        <w:rPr>
          <w:rFonts w:ascii="Arial" w:hAnsi="Arial" w:cs="Arial"/>
          <w:lang w:val="en-GB"/>
        </w:rPr>
        <w:t>South African economy and its citizens,  especially the poor, have borne the consequences of a distorted labour system.</w:t>
      </w:r>
      <w:r w:rsidR="005144B4" w:rsidRPr="009303C1">
        <w:rPr>
          <w:rFonts w:ascii="Arial" w:hAnsi="Arial" w:cs="Arial"/>
          <w:lang w:val="en-GB"/>
        </w:rPr>
        <w:t xml:space="preserve"> </w:t>
      </w:r>
      <w:r w:rsidRPr="009303C1">
        <w:rPr>
          <w:rFonts w:ascii="Arial" w:hAnsi="Arial" w:cs="Arial"/>
          <w:lang w:val="en-GB"/>
        </w:rPr>
        <w:t>By excluding the full participation of those who are  capable, our economy  has become distorted and less efficient, at a time when it can least afford it.</w:t>
      </w:r>
    </w:p>
    <w:bookmarkEnd w:id="13"/>
    <w:p w14:paraId="5C8B4CA2" w14:textId="77777777" w:rsidR="004168D5" w:rsidRPr="009303C1" w:rsidRDefault="004168D5" w:rsidP="004168D5">
      <w:pPr>
        <w:spacing w:after="0" w:line="276" w:lineRule="auto"/>
        <w:jc w:val="both"/>
        <w:rPr>
          <w:rFonts w:ascii="Arial" w:hAnsi="Arial" w:cs="Arial"/>
          <w:lang w:val="en-GB"/>
        </w:rPr>
      </w:pPr>
    </w:p>
    <w:p w14:paraId="6707CE72" w14:textId="77777777"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t xml:space="preserve">The DA’s Labour Policy Framework sets out a more effective mechanism for redress and economic inclusion. </w:t>
      </w:r>
    </w:p>
    <w:p w14:paraId="3187E553" w14:textId="77777777" w:rsidR="004168D5" w:rsidRPr="009303C1" w:rsidRDefault="004168D5" w:rsidP="004168D5">
      <w:pPr>
        <w:spacing w:after="0" w:line="276" w:lineRule="auto"/>
        <w:jc w:val="both"/>
        <w:rPr>
          <w:rFonts w:ascii="Arial" w:hAnsi="Arial" w:cs="Arial"/>
          <w:lang w:val="en-GB"/>
        </w:rPr>
      </w:pPr>
    </w:p>
    <w:p w14:paraId="457568EF" w14:textId="22B56EF4"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t>As an initial step to address the failure of BBBEE as an economic policy and the damage done as a consequence of its implementation</w:t>
      </w:r>
      <w:r w:rsidR="005144B4" w:rsidRPr="009303C1">
        <w:rPr>
          <w:rFonts w:ascii="Arial" w:hAnsi="Arial" w:cs="Arial"/>
          <w:lang w:val="en-GB"/>
        </w:rPr>
        <w:t>,</w:t>
      </w:r>
      <w:r w:rsidRPr="009303C1">
        <w:rPr>
          <w:rFonts w:ascii="Arial" w:hAnsi="Arial" w:cs="Arial"/>
          <w:lang w:val="en-GB"/>
        </w:rPr>
        <w:t xml:space="preserve"> the DA is finalising a private member’s bill that </w:t>
      </w:r>
      <w:r w:rsidR="005144B4" w:rsidRPr="009303C1">
        <w:rPr>
          <w:rFonts w:ascii="Arial" w:hAnsi="Arial" w:cs="Arial"/>
          <w:lang w:val="en-GB"/>
        </w:rPr>
        <w:t xml:space="preserve">will </w:t>
      </w:r>
      <w:r w:rsidRPr="009303C1">
        <w:rPr>
          <w:rFonts w:ascii="Arial" w:hAnsi="Arial" w:cs="Arial"/>
          <w:lang w:val="en-GB"/>
        </w:rPr>
        <w:t>amend the Preferential Procurement Policy Framework Act (PPPFA) by removing the BBBEE consideration and replace it with consideration to be paid, under certain circumstances, to a company’s contributions towards a variety of different Sustainable Development Goals (SDG's).</w:t>
      </w:r>
    </w:p>
    <w:p w14:paraId="4447731D" w14:textId="77777777" w:rsidR="004168D5" w:rsidRPr="009303C1" w:rsidRDefault="004168D5" w:rsidP="004168D5">
      <w:pPr>
        <w:spacing w:after="0" w:line="276" w:lineRule="auto"/>
        <w:jc w:val="both"/>
        <w:rPr>
          <w:rFonts w:ascii="Arial" w:hAnsi="Arial" w:cs="Arial"/>
          <w:lang w:val="en-GB"/>
        </w:rPr>
      </w:pPr>
    </w:p>
    <w:p w14:paraId="0417F4A8" w14:textId="77777777" w:rsidR="004168D5" w:rsidRPr="009303C1" w:rsidRDefault="004168D5" w:rsidP="004168D5">
      <w:pPr>
        <w:spacing w:after="0" w:line="276" w:lineRule="auto"/>
        <w:jc w:val="both"/>
        <w:rPr>
          <w:rFonts w:ascii="Arial" w:hAnsi="Arial" w:cs="Arial"/>
          <w:lang w:val="en-GB"/>
        </w:rPr>
      </w:pPr>
    </w:p>
    <w:p w14:paraId="261191B2" w14:textId="219B9688" w:rsidR="004168D5" w:rsidRPr="001E040F" w:rsidRDefault="004168D5" w:rsidP="004168D5">
      <w:pPr>
        <w:pStyle w:val="Heading1"/>
        <w:numPr>
          <w:ilvl w:val="0"/>
          <w:numId w:val="30"/>
        </w:numPr>
        <w:spacing w:before="0" w:line="276" w:lineRule="auto"/>
        <w:jc w:val="both"/>
        <w:rPr>
          <w:rFonts w:ascii="Arial" w:hAnsi="Arial" w:cs="Arial"/>
          <w:b/>
          <w:bCs/>
          <w:color w:val="0070C0"/>
          <w:sz w:val="22"/>
          <w:szCs w:val="22"/>
          <w:u w:val="single"/>
        </w:rPr>
      </w:pPr>
      <w:bookmarkStart w:id="14" w:name="_Toc116638087"/>
      <w:bookmarkStart w:id="15" w:name="_Hlk117508176"/>
      <w:r w:rsidRPr="001E040F">
        <w:rPr>
          <w:rFonts w:ascii="Arial" w:hAnsi="Arial" w:cs="Arial"/>
          <w:b/>
          <w:bCs/>
          <w:color w:val="0070C0"/>
          <w:sz w:val="22"/>
          <w:szCs w:val="22"/>
          <w:u w:val="single"/>
        </w:rPr>
        <w:t xml:space="preserve">Reducing Gross National Debt </w:t>
      </w:r>
      <w:r w:rsidR="00D46ECA" w:rsidRPr="001E040F">
        <w:rPr>
          <w:rFonts w:ascii="Arial" w:hAnsi="Arial" w:cs="Arial"/>
          <w:b/>
          <w:bCs/>
          <w:color w:val="0070C0"/>
          <w:sz w:val="22"/>
          <w:szCs w:val="22"/>
          <w:u w:val="single"/>
        </w:rPr>
        <w:t>a</w:t>
      </w:r>
      <w:r w:rsidRPr="001E040F">
        <w:rPr>
          <w:rFonts w:ascii="Arial" w:hAnsi="Arial" w:cs="Arial"/>
          <w:b/>
          <w:bCs/>
          <w:color w:val="0070C0"/>
          <w:sz w:val="22"/>
          <w:szCs w:val="22"/>
          <w:u w:val="single"/>
        </w:rPr>
        <w:t>nd Managing Expenditure</w:t>
      </w:r>
      <w:bookmarkEnd w:id="14"/>
      <w:r w:rsidRPr="001E040F">
        <w:rPr>
          <w:rFonts w:ascii="Arial" w:hAnsi="Arial" w:cs="Arial"/>
          <w:b/>
          <w:bCs/>
          <w:color w:val="0070C0"/>
          <w:sz w:val="22"/>
          <w:szCs w:val="22"/>
          <w:u w:val="single"/>
        </w:rPr>
        <w:t xml:space="preserve"> </w:t>
      </w:r>
    </w:p>
    <w:bookmarkEnd w:id="15"/>
    <w:p w14:paraId="0B0F2A24" w14:textId="77777777" w:rsidR="004168D5" w:rsidRPr="009303C1" w:rsidRDefault="004168D5" w:rsidP="004168D5">
      <w:pPr>
        <w:pStyle w:val="Default"/>
        <w:spacing w:line="276" w:lineRule="auto"/>
        <w:jc w:val="both"/>
        <w:rPr>
          <w:rFonts w:ascii="Arial" w:hAnsi="Arial" w:cs="Arial"/>
          <w:color w:val="auto"/>
          <w:sz w:val="22"/>
          <w:szCs w:val="22"/>
        </w:rPr>
      </w:pPr>
    </w:p>
    <w:p w14:paraId="5FD05DB3" w14:textId="77777777" w:rsidR="004168D5" w:rsidRPr="009303C1" w:rsidRDefault="004168D5" w:rsidP="004168D5">
      <w:pPr>
        <w:pStyle w:val="Default"/>
        <w:spacing w:line="276" w:lineRule="auto"/>
        <w:jc w:val="both"/>
        <w:rPr>
          <w:rFonts w:ascii="Arial" w:hAnsi="Arial" w:cs="Arial"/>
          <w:color w:val="auto"/>
          <w:sz w:val="22"/>
          <w:szCs w:val="22"/>
        </w:rPr>
      </w:pPr>
      <w:bookmarkStart w:id="16" w:name="_Hlk117508198"/>
      <w:r w:rsidRPr="009303C1">
        <w:rPr>
          <w:rFonts w:ascii="Arial" w:hAnsi="Arial" w:cs="Arial"/>
          <w:color w:val="auto"/>
          <w:sz w:val="22"/>
          <w:szCs w:val="22"/>
        </w:rPr>
        <w:t xml:space="preserve">The 2022 MTBPS must provide a fiscal framework that is focused on reducing the deficit whilst stimulating economic growth and job creation, even though Government has on a regular basis missed its own fiscal targets. To ensure that this approach is sustainable, it is important that South Africa urgently addresses the interdependent challenges of a high debt burden, increasing deficit spending, and low economic growth. </w:t>
      </w:r>
    </w:p>
    <w:bookmarkEnd w:id="16"/>
    <w:p w14:paraId="57A785D3" w14:textId="77777777" w:rsidR="004168D5" w:rsidRPr="009303C1" w:rsidRDefault="004168D5" w:rsidP="004168D5">
      <w:pPr>
        <w:pStyle w:val="Default"/>
        <w:spacing w:line="276" w:lineRule="auto"/>
        <w:jc w:val="both"/>
        <w:rPr>
          <w:rFonts w:ascii="Arial" w:hAnsi="Arial" w:cs="Arial"/>
          <w:color w:val="auto"/>
          <w:sz w:val="22"/>
          <w:szCs w:val="22"/>
        </w:rPr>
      </w:pPr>
    </w:p>
    <w:p w14:paraId="50C5DBC6" w14:textId="05D48D84" w:rsidR="004168D5" w:rsidRPr="009303C1" w:rsidRDefault="004168D5" w:rsidP="004168D5">
      <w:pPr>
        <w:pStyle w:val="Default"/>
        <w:spacing w:line="276" w:lineRule="auto"/>
        <w:jc w:val="both"/>
        <w:rPr>
          <w:rFonts w:ascii="Arial" w:hAnsi="Arial" w:cs="Arial"/>
          <w:color w:val="auto"/>
          <w:sz w:val="22"/>
          <w:szCs w:val="22"/>
        </w:rPr>
      </w:pPr>
      <w:r w:rsidRPr="009303C1">
        <w:rPr>
          <w:rFonts w:ascii="Arial" w:hAnsi="Arial" w:cs="Arial"/>
          <w:color w:val="auto"/>
          <w:sz w:val="22"/>
          <w:szCs w:val="22"/>
        </w:rPr>
        <w:t xml:space="preserve">In his February 2022 </w:t>
      </w:r>
      <w:r w:rsidR="00390980" w:rsidRPr="009303C1">
        <w:rPr>
          <w:rFonts w:ascii="Arial" w:hAnsi="Arial" w:cs="Arial"/>
          <w:color w:val="auto"/>
          <w:sz w:val="22"/>
          <w:szCs w:val="22"/>
        </w:rPr>
        <w:t xml:space="preserve">Budget, </w:t>
      </w:r>
      <w:r w:rsidRPr="009303C1">
        <w:rPr>
          <w:rFonts w:ascii="Arial" w:hAnsi="Arial" w:cs="Arial"/>
          <w:color w:val="auto"/>
          <w:sz w:val="22"/>
          <w:szCs w:val="22"/>
        </w:rPr>
        <w:t xml:space="preserve">Minister </w:t>
      </w:r>
      <w:proofErr w:type="spellStart"/>
      <w:r w:rsidRPr="009303C1">
        <w:rPr>
          <w:rFonts w:ascii="Arial" w:hAnsi="Arial" w:cs="Arial"/>
          <w:color w:val="auto"/>
          <w:sz w:val="22"/>
          <w:szCs w:val="22"/>
        </w:rPr>
        <w:t>Godongwana</w:t>
      </w:r>
      <w:proofErr w:type="spellEnd"/>
      <w:r w:rsidRPr="009303C1">
        <w:rPr>
          <w:rFonts w:ascii="Arial" w:hAnsi="Arial" w:cs="Arial"/>
          <w:color w:val="auto"/>
          <w:sz w:val="22"/>
          <w:szCs w:val="22"/>
        </w:rPr>
        <w:t xml:space="preserve"> committed government to stabilising debt at 75.1% of GDP. In the February Budget consolidated spending was expected to amount to R 6.62 trillion over the MTEF period (a deficit of 5.7%). Given deteriorating international and local conditions, these fiscal budget expectations are unlikely to be met as the projections were made before Russia illegally invaded Ukraine. Russia’s invasion prompted central banks </w:t>
      </w:r>
      <w:r w:rsidRPr="009303C1">
        <w:rPr>
          <w:rFonts w:ascii="Arial" w:hAnsi="Arial" w:cs="Arial"/>
          <w:color w:val="auto"/>
          <w:sz w:val="22"/>
          <w:szCs w:val="22"/>
        </w:rPr>
        <w:lastRenderedPageBreak/>
        <w:t>across the world to tighten their monetary policy approach by increasing repo rates in an attempt to combat rising inflation. The latter was largely the result of unwarranted Russian aggression which led to significant energy and food supply chain disruptions</w:t>
      </w:r>
      <w:r w:rsidR="00390980" w:rsidRPr="009303C1">
        <w:rPr>
          <w:rFonts w:ascii="Arial" w:hAnsi="Arial" w:cs="Arial"/>
          <w:color w:val="auto"/>
          <w:sz w:val="22"/>
          <w:szCs w:val="22"/>
        </w:rPr>
        <w:t>.</w:t>
      </w:r>
      <w:r w:rsidRPr="009303C1">
        <w:rPr>
          <w:rFonts w:ascii="Arial" w:hAnsi="Arial" w:cs="Arial"/>
          <w:color w:val="auto"/>
          <w:sz w:val="22"/>
          <w:szCs w:val="22"/>
        </w:rPr>
        <w:t xml:space="preserve"> For South Africa, the economic consequences of Russia’s actions have been compounded by the anti-poor fiscal policies of the ANC that increasingly pursue centralisation and localisation. </w:t>
      </w:r>
    </w:p>
    <w:p w14:paraId="518D18E4" w14:textId="77777777" w:rsidR="004168D5" w:rsidRPr="009303C1" w:rsidRDefault="004168D5" w:rsidP="004168D5">
      <w:pPr>
        <w:pStyle w:val="Default"/>
        <w:spacing w:line="276" w:lineRule="auto"/>
        <w:jc w:val="both"/>
        <w:rPr>
          <w:rFonts w:ascii="Arial" w:hAnsi="Arial" w:cs="Arial"/>
          <w:color w:val="auto"/>
          <w:sz w:val="22"/>
          <w:szCs w:val="22"/>
        </w:rPr>
      </w:pPr>
    </w:p>
    <w:p w14:paraId="2D00B420" w14:textId="77777777" w:rsidR="004168D5" w:rsidRPr="009303C1" w:rsidRDefault="004168D5" w:rsidP="004168D5">
      <w:pPr>
        <w:shd w:val="clear" w:color="auto" w:fill="FFFFFF"/>
        <w:tabs>
          <w:tab w:val="left" w:pos="1620"/>
        </w:tabs>
        <w:spacing w:after="0" w:line="276" w:lineRule="auto"/>
        <w:jc w:val="both"/>
        <w:rPr>
          <w:rFonts w:ascii="Arial" w:hAnsi="Arial" w:cs="Arial"/>
          <w:b/>
          <w:bCs/>
          <w:u w:val="single"/>
          <w:lang w:val="en-GB"/>
        </w:rPr>
      </w:pPr>
      <w:r w:rsidRPr="009303C1">
        <w:rPr>
          <w:rFonts w:ascii="Arial" w:hAnsi="Arial" w:cs="Arial"/>
          <w:b/>
          <w:bCs/>
          <w:u w:val="single"/>
          <w:lang w:val="en-GB"/>
        </w:rPr>
        <w:t>The DA will introduce a Responsible Spending Bill that is designed to prioritise responsible and optimal expenditure and reduce overall government debt.</w:t>
      </w:r>
    </w:p>
    <w:p w14:paraId="0F0B0C8A" w14:textId="77777777" w:rsidR="004168D5" w:rsidRPr="009303C1" w:rsidRDefault="004168D5" w:rsidP="004168D5">
      <w:pPr>
        <w:shd w:val="clear" w:color="auto" w:fill="FFFFFF"/>
        <w:tabs>
          <w:tab w:val="left" w:pos="1620"/>
        </w:tabs>
        <w:spacing w:after="0" w:line="276" w:lineRule="auto"/>
        <w:jc w:val="both"/>
        <w:rPr>
          <w:rFonts w:ascii="Arial" w:hAnsi="Arial" w:cs="Arial"/>
          <w:b/>
          <w:bCs/>
          <w:u w:val="single"/>
          <w:lang w:val="en-GB"/>
        </w:rPr>
      </w:pPr>
    </w:p>
    <w:p w14:paraId="35ECC69A" w14:textId="77777777" w:rsidR="004168D5" w:rsidRPr="009303C1" w:rsidRDefault="004168D5" w:rsidP="004168D5">
      <w:pPr>
        <w:shd w:val="clear" w:color="auto" w:fill="FFFFFF"/>
        <w:tabs>
          <w:tab w:val="left" w:pos="1620"/>
        </w:tabs>
        <w:spacing w:after="0" w:line="276" w:lineRule="auto"/>
        <w:jc w:val="both"/>
        <w:rPr>
          <w:rFonts w:ascii="Arial" w:hAnsi="Arial" w:cs="Arial"/>
          <w:b/>
          <w:bCs/>
          <w:u w:val="single"/>
          <w:lang w:val="en-GB"/>
        </w:rPr>
      </w:pPr>
    </w:p>
    <w:p w14:paraId="578BCBD3" w14:textId="54534841" w:rsidR="004168D5" w:rsidRPr="001E040F" w:rsidRDefault="004168D5" w:rsidP="004168D5">
      <w:pPr>
        <w:pStyle w:val="Heading2"/>
        <w:spacing w:before="0" w:line="276" w:lineRule="auto"/>
        <w:jc w:val="both"/>
        <w:rPr>
          <w:rFonts w:ascii="Arial" w:eastAsia="Times New Roman" w:hAnsi="Arial" w:cs="Arial"/>
          <w:b/>
          <w:bCs/>
          <w:color w:val="0070C0"/>
          <w:sz w:val="22"/>
          <w:szCs w:val="22"/>
          <w:lang w:eastAsia="en-GB"/>
        </w:rPr>
      </w:pPr>
      <w:bookmarkStart w:id="17" w:name="_Toc116638088"/>
      <w:r w:rsidRPr="001E040F">
        <w:rPr>
          <w:rFonts w:ascii="Arial" w:eastAsia="Times New Roman" w:hAnsi="Arial" w:cs="Arial"/>
          <w:b/>
          <w:bCs/>
          <w:color w:val="0070C0"/>
          <w:sz w:val="22"/>
          <w:szCs w:val="22"/>
          <w:lang w:eastAsia="en-GB"/>
        </w:rPr>
        <w:t>3.1. Government Debt</w:t>
      </w:r>
      <w:bookmarkEnd w:id="17"/>
    </w:p>
    <w:p w14:paraId="29173B3D" w14:textId="77777777" w:rsidR="004168D5" w:rsidRPr="009303C1" w:rsidRDefault="004168D5" w:rsidP="004168D5">
      <w:pPr>
        <w:shd w:val="clear" w:color="auto" w:fill="FFFFFF"/>
        <w:spacing w:after="0" w:line="276" w:lineRule="auto"/>
        <w:jc w:val="both"/>
        <w:rPr>
          <w:rFonts w:ascii="Arial" w:eastAsia="Times New Roman" w:hAnsi="Arial" w:cs="Arial"/>
          <w:lang w:val="en-GB" w:eastAsia="en-GB"/>
        </w:rPr>
      </w:pPr>
    </w:p>
    <w:p w14:paraId="7B4867FA" w14:textId="77777777" w:rsidR="004168D5" w:rsidRPr="009303C1" w:rsidRDefault="004168D5" w:rsidP="004168D5">
      <w:pPr>
        <w:shd w:val="clear" w:color="auto" w:fill="FFFFFF"/>
        <w:spacing w:after="0" w:line="276" w:lineRule="auto"/>
        <w:jc w:val="both"/>
        <w:rPr>
          <w:rFonts w:ascii="Arial" w:eastAsia="Times New Roman" w:hAnsi="Arial" w:cs="Arial"/>
          <w:lang w:val="en-GB" w:eastAsia="en-GB"/>
        </w:rPr>
      </w:pPr>
      <w:r w:rsidRPr="009303C1">
        <w:rPr>
          <w:rFonts w:ascii="Arial" w:eastAsia="Times New Roman" w:hAnsi="Arial" w:cs="Arial"/>
          <w:lang w:val="en-GB" w:eastAsia="en-GB"/>
        </w:rPr>
        <w:t xml:space="preserve">Subsequent to the Growth, Employment and Redistribution (GEAR) period, which prioritised growth enhancing policies that realised year on year economic growth rates averaging 3% – 5%, there was a change of mind in Government as it decided to pursue a redistributive policy approach, with disastrous consequences. </w:t>
      </w:r>
    </w:p>
    <w:p w14:paraId="23C9D357" w14:textId="77777777" w:rsidR="004168D5" w:rsidRPr="009303C1" w:rsidRDefault="004168D5" w:rsidP="004168D5">
      <w:pPr>
        <w:shd w:val="clear" w:color="auto" w:fill="FFFFFF"/>
        <w:spacing w:after="0" w:line="276" w:lineRule="auto"/>
        <w:jc w:val="both"/>
        <w:rPr>
          <w:rFonts w:ascii="Arial" w:eastAsia="Times New Roman" w:hAnsi="Arial" w:cs="Arial"/>
          <w:lang w:val="en-GB" w:eastAsia="en-GB"/>
        </w:rPr>
      </w:pPr>
    </w:p>
    <w:p w14:paraId="10BD6B47" w14:textId="77777777" w:rsidR="004168D5" w:rsidRPr="009303C1" w:rsidRDefault="004168D5" w:rsidP="004168D5">
      <w:pPr>
        <w:shd w:val="clear" w:color="auto" w:fill="FFFFFF"/>
        <w:spacing w:after="0" w:line="276" w:lineRule="auto"/>
        <w:jc w:val="both"/>
        <w:rPr>
          <w:rFonts w:ascii="Arial" w:hAnsi="Arial" w:cs="Arial"/>
          <w:shd w:val="clear" w:color="auto" w:fill="FFFFFF"/>
          <w:lang w:val="en-GB"/>
        </w:rPr>
      </w:pPr>
      <w:r w:rsidRPr="009303C1">
        <w:rPr>
          <w:rFonts w:ascii="Arial" w:eastAsia="Times New Roman" w:hAnsi="Arial" w:cs="Arial"/>
          <w:lang w:val="en-GB" w:eastAsia="en-GB"/>
        </w:rPr>
        <w:t xml:space="preserve">One of the primary tools that the South African government has employed to secure the funds that financed the significant increases in expenditure required by a redistributive policy framework was the accumulation of debt. However, in order to be able to repay the principal of a loan plus interest a borrower must also be a wealth generator, which a government run in accordance with the economic agenda of the ANC cannot be. Instead, the state under the ANC only serves to consume wealth </w:t>
      </w:r>
      <w:r w:rsidRPr="009303C1">
        <w:rPr>
          <w:rFonts w:ascii="Arial" w:hAnsi="Arial" w:cs="Arial"/>
          <w:shd w:val="clear" w:color="auto" w:fill="FFFFFF"/>
          <w:lang w:val="en-GB"/>
        </w:rPr>
        <w:t>i.e., the more it spends, the more resources it must take from the actual wealth generators in our society (individual workers and private sector business) and in doing so undermines the wealth generating process of our economy.</w:t>
      </w:r>
    </w:p>
    <w:p w14:paraId="4DC93EE3" w14:textId="77777777" w:rsidR="004168D5" w:rsidRPr="009303C1" w:rsidRDefault="004168D5" w:rsidP="004168D5">
      <w:pPr>
        <w:shd w:val="clear" w:color="auto" w:fill="FFFFFF"/>
        <w:spacing w:after="0" w:line="276" w:lineRule="auto"/>
        <w:jc w:val="both"/>
        <w:rPr>
          <w:rFonts w:ascii="Arial" w:eastAsia="Times New Roman" w:hAnsi="Arial" w:cs="Arial"/>
          <w:lang w:val="en-GB" w:eastAsia="en-GB"/>
        </w:rPr>
      </w:pPr>
    </w:p>
    <w:p w14:paraId="3C7E57DE" w14:textId="77777777" w:rsidR="004168D5" w:rsidRPr="009303C1" w:rsidRDefault="004168D5" w:rsidP="004168D5">
      <w:pPr>
        <w:spacing w:after="0" w:line="276" w:lineRule="auto"/>
        <w:jc w:val="both"/>
        <w:rPr>
          <w:rFonts w:ascii="Arial" w:hAnsi="Arial" w:cs="Arial"/>
          <w:shd w:val="clear" w:color="auto" w:fill="FFFFFF"/>
          <w:lang w:val="en-GB"/>
        </w:rPr>
      </w:pPr>
      <w:r w:rsidRPr="009303C1">
        <w:rPr>
          <w:rFonts w:ascii="Arial" w:hAnsi="Arial" w:cs="Arial"/>
          <w:shd w:val="clear" w:color="auto" w:fill="FFFFFF"/>
          <w:lang w:val="en-GB"/>
        </w:rPr>
        <w:t>This period saw Government’s debt burden rise from just 27% of GDP in 2008 to 69.5% (R4.35 trillion) in 2021/22 and was expected by the 2022 Budget to stabilise at 75.1% in 2024/25. The February 2022 budget estimated that over the medium-term, debt</w:t>
      </w:r>
      <w:r w:rsidRPr="009303C1">
        <w:rPr>
          <w:rFonts w:ascii="Cambria Math" w:hAnsi="Cambria Math" w:cs="Cambria Math"/>
          <w:shd w:val="clear" w:color="auto" w:fill="FFFFFF"/>
          <w:lang w:val="en-GB"/>
        </w:rPr>
        <w:t>‐</w:t>
      </w:r>
      <w:r w:rsidRPr="009303C1">
        <w:rPr>
          <w:rFonts w:ascii="Arial" w:hAnsi="Arial" w:cs="Arial"/>
          <w:shd w:val="clear" w:color="auto" w:fill="FFFFFF"/>
          <w:lang w:val="en-GB"/>
        </w:rPr>
        <w:t>service costs are expected to average R333.4 billion a year. Debt</w:t>
      </w:r>
      <w:r w:rsidRPr="009303C1">
        <w:rPr>
          <w:rFonts w:ascii="Cambria Math" w:hAnsi="Cambria Math" w:cs="Cambria Math"/>
          <w:shd w:val="clear" w:color="auto" w:fill="FFFFFF"/>
          <w:lang w:val="en-GB"/>
        </w:rPr>
        <w:t>‐</w:t>
      </w:r>
      <w:r w:rsidRPr="009303C1">
        <w:rPr>
          <w:rFonts w:ascii="Arial" w:hAnsi="Arial" w:cs="Arial"/>
          <w:shd w:val="clear" w:color="auto" w:fill="FFFFFF"/>
          <w:lang w:val="en-GB"/>
        </w:rPr>
        <w:t>service costs have been the fastest growing item on the Budget while consuming an increasing share of GDP and revenue for the past two decades. Today, on average, 20 cents of every Rand collected in revenue every year will be  used to pay debt</w:t>
      </w:r>
      <w:r w:rsidRPr="009303C1">
        <w:rPr>
          <w:rFonts w:ascii="Cambria Math" w:hAnsi="Cambria Math" w:cs="Cambria Math"/>
          <w:shd w:val="clear" w:color="auto" w:fill="FFFFFF"/>
          <w:lang w:val="en-GB"/>
        </w:rPr>
        <w:t>‐</w:t>
      </w:r>
      <w:r w:rsidRPr="009303C1">
        <w:rPr>
          <w:rFonts w:ascii="Arial" w:hAnsi="Arial" w:cs="Arial"/>
          <w:shd w:val="clear" w:color="auto" w:fill="FFFFFF"/>
          <w:lang w:val="en-GB"/>
        </w:rPr>
        <w:t xml:space="preserve">service costs. As a consequence, interest payments on accumulated debt have crowded out spending on essential public services that include policing, public health, and basic education among others. </w:t>
      </w:r>
    </w:p>
    <w:p w14:paraId="55FDAB7A" w14:textId="77777777" w:rsidR="004168D5" w:rsidRPr="009303C1" w:rsidRDefault="004168D5" w:rsidP="004168D5">
      <w:pPr>
        <w:spacing w:after="0" w:line="276" w:lineRule="auto"/>
        <w:jc w:val="both"/>
        <w:rPr>
          <w:rFonts w:ascii="Arial" w:hAnsi="Arial" w:cs="Arial"/>
          <w:shd w:val="clear" w:color="auto" w:fill="FFFFFF"/>
          <w:lang w:val="en-GB"/>
        </w:rPr>
      </w:pPr>
    </w:p>
    <w:p w14:paraId="7FA83A43" w14:textId="26441C99" w:rsidR="004168D5" w:rsidRPr="009303C1" w:rsidRDefault="004168D5" w:rsidP="004168D5">
      <w:pPr>
        <w:spacing w:after="0" w:line="276" w:lineRule="auto"/>
        <w:jc w:val="both"/>
        <w:rPr>
          <w:rFonts w:ascii="Arial" w:hAnsi="Arial" w:cs="Arial"/>
          <w:shd w:val="clear" w:color="auto" w:fill="FFFFFF"/>
          <w:lang w:val="en-GB"/>
        </w:rPr>
      </w:pPr>
      <w:bookmarkStart w:id="18" w:name="_Hlk117508313"/>
      <w:r w:rsidRPr="009303C1">
        <w:rPr>
          <w:rFonts w:ascii="Arial" w:hAnsi="Arial" w:cs="Arial"/>
          <w:shd w:val="clear" w:color="auto" w:fill="FFFFFF"/>
          <w:lang w:val="en-GB"/>
        </w:rPr>
        <w:t xml:space="preserve">Through the implementation of the DA’s economic policy </w:t>
      </w:r>
      <w:r w:rsidR="00A84E1A" w:rsidRPr="009303C1">
        <w:rPr>
          <w:rFonts w:ascii="Arial" w:hAnsi="Arial" w:cs="Arial"/>
          <w:shd w:val="clear" w:color="auto" w:fill="FFFFFF"/>
          <w:lang w:val="en-GB"/>
        </w:rPr>
        <w:t>framework,</w:t>
      </w:r>
      <w:r w:rsidRPr="009303C1">
        <w:rPr>
          <w:rFonts w:ascii="Arial" w:hAnsi="Arial" w:cs="Arial"/>
          <w:shd w:val="clear" w:color="auto" w:fill="FFFFFF"/>
          <w:lang w:val="en-GB"/>
        </w:rPr>
        <w:t xml:space="preserve"> we are able to show how we would bring our national debt under control at an accelerated pace and consolidate South Africa’s fiscal position sooner than the ANC government by generating sufficient economic growth. </w:t>
      </w:r>
    </w:p>
    <w:bookmarkEnd w:id="18"/>
    <w:p w14:paraId="73D01F76" w14:textId="77777777" w:rsidR="004168D5" w:rsidRPr="009303C1" w:rsidRDefault="004168D5" w:rsidP="004168D5">
      <w:pPr>
        <w:spacing w:after="0" w:line="276" w:lineRule="auto"/>
        <w:jc w:val="both"/>
        <w:rPr>
          <w:rFonts w:ascii="Arial" w:hAnsi="Arial" w:cs="Arial"/>
          <w:shd w:val="clear" w:color="auto" w:fill="FFFFFF"/>
          <w:lang w:val="en-GB"/>
        </w:rPr>
      </w:pPr>
    </w:p>
    <w:p w14:paraId="1253ED47" w14:textId="77777777" w:rsidR="004168D5" w:rsidRPr="009303C1" w:rsidRDefault="004168D5" w:rsidP="004168D5">
      <w:pPr>
        <w:spacing w:after="0" w:line="276" w:lineRule="auto"/>
        <w:jc w:val="both"/>
        <w:rPr>
          <w:rFonts w:ascii="Arial" w:hAnsi="Arial" w:cs="Arial"/>
          <w:shd w:val="clear" w:color="auto" w:fill="FFFFFF"/>
          <w:lang w:val="en-GB"/>
        </w:rPr>
      </w:pPr>
      <w:r w:rsidRPr="009303C1">
        <w:rPr>
          <w:rFonts w:ascii="Arial" w:hAnsi="Arial" w:cs="Arial"/>
          <w:shd w:val="clear" w:color="auto" w:fill="FFFFFF"/>
          <w:lang w:val="en-GB"/>
        </w:rPr>
        <w:t xml:space="preserve">The figure below models the DA’s growth forecast for this Alternative Budget. This is compared to the government’s debt forecasts, shown on the top line. We have used Treasury’s debt forecasts, the SARB’s growth projection forecasts and further market consensus growth forecasts. The DA’s modelling shows that we can reverse the upward trend of government’s debt-to-GDP ratio as soon as the 2024/25 financial year. </w:t>
      </w:r>
    </w:p>
    <w:p w14:paraId="38C27690" w14:textId="77777777" w:rsidR="004168D5" w:rsidRPr="009303C1" w:rsidRDefault="004168D5" w:rsidP="004168D5">
      <w:pPr>
        <w:spacing w:after="0" w:line="276" w:lineRule="auto"/>
        <w:jc w:val="both"/>
        <w:rPr>
          <w:rFonts w:ascii="Arial" w:hAnsi="Arial" w:cs="Arial"/>
          <w:shd w:val="clear" w:color="auto" w:fill="FFFFFF"/>
          <w:lang w:val="en-GB"/>
        </w:rPr>
      </w:pPr>
    </w:p>
    <w:p w14:paraId="174B4DE1" w14:textId="77777777" w:rsidR="004168D5" w:rsidRPr="009303C1" w:rsidRDefault="004168D5" w:rsidP="004168D5">
      <w:pPr>
        <w:spacing w:after="0" w:line="276" w:lineRule="auto"/>
        <w:jc w:val="both"/>
        <w:rPr>
          <w:rFonts w:ascii="Arial" w:hAnsi="Arial" w:cs="Arial"/>
          <w:shd w:val="clear" w:color="auto" w:fill="FFFFFF"/>
          <w:lang w:val="en-GB"/>
        </w:rPr>
      </w:pPr>
    </w:p>
    <w:p w14:paraId="3EF762DE" w14:textId="1D707E0C" w:rsidR="004168D5" w:rsidRPr="009303C1" w:rsidRDefault="004168D5" w:rsidP="004168D5">
      <w:pPr>
        <w:pStyle w:val="Caption"/>
        <w:spacing w:after="0" w:line="276" w:lineRule="auto"/>
        <w:jc w:val="both"/>
        <w:rPr>
          <w:rFonts w:ascii="Arial" w:hAnsi="Arial" w:cs="Arial"/>
          <w:color w:val="auto"/>
          <w:sz w:val="22"/>
          <w:szCs w:val="22"/>
          <w:shd w:val="clear" w:color="auto" w:fill="FFFFFF"/>
        </w:rPr>
      </w:pPr>
      <w:bookmarkStart w:id="19" w:name="_Toc116113697"/>
      <w:r w:rsidRPr="009303C1">
        <w:rPr>
          <w:rFonts w:ascii="Arial" w:hAnsi="Arial" w:cs="Arial"/>
          <w:color w:val="auto"/>
          <w:sz w:val="22"/>
          <w:szCs w:val="22"/>
        </w:rPr>
        <w:lastRenderedPageBreak/>
        <w:t xml:space="preserve">Figure </w:t>
      </w:r>
      <w:r w:rsidRPr="009303C1">
        <w:rPr>
          <w:rFonts w:ascii="Arial" w:hAnsi="Arial" w:cs="Arial"/>
          <w:color w:val="auto"/>
          <w:sz w:val="22"/>
          <w:szCs w:val="22"/>
        </w:rPr>
        <w:fldChar w:fldCharType="begin"/>
      </w:r>
      <w:r w:rsidRPr="009303C1">
        <w:rPr>
          <w:rFonts w:ascii="Arial" w:hAnsi="Arial" w:cs="Arial"/>
          <w:color w:val="auto"/>
          <w:sz w:val="22"/>
          <w:szCs w:val="22"/>
        </w:rPr>
        <w:instrText xml:space="preserve"> SEQ Figure \* ARABIC </w:instrText>
      </w:r>
      <w:r w:rsidRPr="009303C1">
        <w:rPr>
          <w:rFonts w:ascii="Arial" w:hAnsi="Arial" w:cs="Arial"/>
          <w:color w:val="auto"/>
          <w:sz w:val="22"/>
          <w:szCs w:val="22"/>
        </w:rPr>
        <w:fldChar w:fldCharType="separate"/>
      </w:r>
      <w:r w:rsidR="00A664A7">
        <w:rPr>
          <w:rFonts w:ascii="Arial" w:hAnsi="Arial" w:cs="Arial"/>
          <w:noProof/>
          <w:color w:val="auto"/>
          <w:sz w:val="22"/>
          <w:szCs w:val="22"/>
        </w:rPr>
        <w:t>1</w:t>
      </w:r>
      <w:r w:rsidRPr="009303C1">
        <w:rPr>
          <w:rFonts w:ascii="Arial" w:hAnsi="Arial" w:cs="Arial"/>
          <w:color w:val="auto"/>
          <w:sz w:val="22"/>
          <w:szCs w:val="22"/>
        </w:rPr>
        <w:fldChar w:fldCharType="end"/>
      </w:r>
      <w:r w:rsidRPr="009303C1">
        <w:rPr>
          <w:rFonts w:ascii="Arial" w:hAnsi="Arial" w:cs="Arial"/>
          <w:color w:val="auto"/>
          <w:sz w:val="22"/>
          <w:szCs w:val="22"/>
        </w:rPr>
        <w:t xml:space="preserve">: </w:t>
      </w:r>
      <w:r w:rsidRPr="009303C1">
        <w:rPr>
          <w:rFonts w:ascii="Arial" w:hAnsi="Arial" w:cs="Arial"/>
          <w:color w:val="auto"/>
          <w:sz w:val="22"/>
          <w:szCs w:val="22"/>
          <w:shd w:val="clear" w:color="auto" w:fill="FFFFFF"/>
        </w:rPr>
        <w:t>Government Debt-to-GDP Forecast</w:t>
      </w:r>
      <w:bookmarkEnd w:id="19"/>
    </w:p>
    <w:p w14:paraId="3398A5FB" w14:textId="77777777" w:rsidR="004168D5" w:rsidRPr="009303C1" w:rsidRDefault="004168D5" w:rsidP="004168D5">
      <w:pPr>
        <w:spacing w:after="0" w:line="276" w:lineRule="auto"/>
        <w:ind w:firstLine="720"/>
        <w:jc w:val="both"/>
        <w:rPr>
          <w:rFonts w:ascii="Arial" w:hAnsi="Arial" w:cs="Arial"/>
          <w:shd w:val="clear" w:color="auto" w:fill="FFFFFF"/>
          <w:lang w:val="en-GB"/>
        </w:rPr>
      </w:pPr>
    </w:p>
    <w:p w14:paraId="02246508" w14:textId="77777777" w:rsidR="004168D5" w:rsidRPr="009303C1" w:rsidRDefault="004168D5" w:rsidP="004168D5">
      <w:pPr>
        <w:keepNext/>
        <w:spacing w:after="0" w:line="276" w:lineRule="auto"/>
        <w:jc w:val="both"/>
        <w:rPr>
          <w:rFonts w:ascii="Arial" w:hAnsi="Arial" w:cs="Arial"/>
          <w:lang w:val="en-GB"/>
        </w:rPr>
      </w:pPr>
      <w:r w:rsidRPr="009303C1">
        <w:rPr>
          <w:rFonts w:ascii="Arial" w:hAnsi="Arial" w:cs="Arial"/>
          <w:noProof/>
          <w:lang w:val="en-GB"/>
        </w:rPr>
        <w:drawing>
          <wp:inline distT="0" distB="0" distL="0" distR="0" wp14:anchorId="77D8549B" wp14:editId="4132B67E">
            <wp:extent cx="5924550" cy="3295650"/>
            <wp:effectExtent l="0" t="0" r="0" b="0"/>
            <wp:docPr id="12" name="Chart 12">
              <a:extLst xmlns:a="http://schemas.openxmlformats.org/drawingml/2006/main">
                <a:ext uri="{FF2B5EF4-FFF2-40B4-BE49-F238E27FC236}">
                  <a16:creationId xmlns:a16="http://schemas.microsoft.com/office/drawing/2014/main" id="{230FE5DC-335C-45F9-A275-A51DE5DE9A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448506" w14:textId="77777777" w:rsidR="004168D5" w:rsidRPr="009303C1" w:rsidRDefault="004168D5" w:rsidP="004168D5">
      <w:pPr>
        <w:spacing w:after="0" w:line="276" w:lineRule="auto"/>
        <w:jc w:val="both"/>
        <w:rPr>
          <w:rFonts w:ascii="Arial" w:hAnsi="Arial" w:cs="Arial"/>
          <w:i/>
          <w:iCs/>
          <w:shd w:val="clear" w:color="auto" w:fill="FFFFFF"/>
          <w:lang w:val="en-GB"/>
        </w:rPr>
      </w:pPr>
      <w:r w:rsidRPr="009303C1">
        <w:rPr>
          <w:rFonts w:ascii="Arial" w:hAnsi="Arial" w:cs="Arial"/>
          <w:i/>
          <w:iCs/>
          <w:shd w:val="clear" w:color="auto" w:fill="FFFFFF"/>
          <w:lang w:val="en-GB"/>
        </w:rPr>
        <w:tab/>
      </w:r>
      <w:r w:rsidRPr="009303C1">
        <w:rPr>
          <w:rFonts w:ascii="Arial" w:hAnsi="Arial" w:cs="Arial"/>
          <w:i/>
          <w:iCs/>
          <w:shd w:val="clear" w:color="auto" w:fill="FFFFFF"/>
          <w:lang w:val="en-GB"/>
        </w:rPr>
        <w:tab/>
      </w:r>
      <w:r w:rsidRPr="009303C1">
        <w:rPr>
          <w:rFonts w:ascii="Arial" w:hAnsi="Arial" w:cs="Arial"/>
          <w:i/>
          <w:iCs/>
          <w:shd w:val="clear" w:color="auto" w:fill="FFFFFF"/>
          <w:lang w:val="en-GB"/>
        </w:rPr>
        <w:tab/>
      </w:r>
      <w:r w:rsidRPr="009303C1">
        <w:rPr>
          <w:rFonts w:ascii="Arial" w:hAnsi="Arial" w:cs="Arial"/>
          <w:i/>
          <w:iCs/>
          <w:shd w:val="clear" w:color="auto" w:fill="FFFFFF"/>
          <w:lang w:val="en-GB"/>
        </w:rPr>
        <w:tab/>
      </w:r>
      <w:r w:rsidRPr="009303C1">
        <w:rPr>
          <w:rFonts w:ascii="Arial" w:hAnsi="Arial" w:cs="Arial"/>
          <w:i/>
          <w:iCs/>
          <w:shd w:val="clear" w:color="auto" w:fill="FFFFFF"/>
          <w:lang w:val="en-GB"/>
        </w:rPr>
        <w:tab/>
      </w:r>
      <w:r w:rsidRPr="009303C1">
        <w:rPr>
          <w:rFonts w:ascii="Arial" w:hAnsi="Arial" w:cs="Arial"/>
          <w:i/>
          <w:iCs/>
          <w:shd w:val="clear" w:color="auto" w:fill="FFFFFF"/>
          <w:lang w:val="en-GB"/>
        </w:rPr>
        <w:tab/>
      </w:r>
      <w:r w:rsidRPr="009303C1">
        <w:rPr>
          <w:rFonts w:ascii="Arial" w:hAnsi="Arial" w:cs="Arial"/>
          <w:i/>
          <w:iCs/>
          <w:shd w:val="clear" w:color="auto" w:fill="FFFFFF"/>
          <w:lang w:val="en-GB"/>
        </w:rPr>
        <w:tab/>
      </w:r>
      <w:r w:rsidRPr="009303C1">
        <w:rPr>
          <w:rFonts w:ascii="Arial" w:hAnsi="Arial" w:cs="Arial"/>
          <w:i/>
          <w:iCs/>
          <w:shd w:val="clear" w:color="auto" w:fill="FFFFFF"/>
          <w:lang w:val="en-GB"/>
        </w:rPr>
        <w:tab/>
      </w:r>
    </w:p>
    <w:p w14:paraId="64B01BF5" w14:textId="77777777" w:rsidR="004168D5" w:rsidRPr="009303C1" w:rsidRDefault="004168D5" w:rsidP="004168D5">
      <w:pPr>
        <w:spacing w:after="0" w:line="276" w:lineRule="auto"/>
        <w:jc w:val="both"/>
        <w:rPr>
          <w:rFonts w:ascii="Arial" w:hAnsi="Arial" w:cs="Arial"/>
          <w:shd w:val="clear" w:color="auto" w:fill="FFFFFF"/>
          <w:lang w:val="en-GB"/>
        </w:rPr>
      </w:pPr>
    </w:p>
    <w:p w14:paraId="532D829C" w14:textId="4412449D" w:rsidR="004168D5" w:rsidRPr="001E040F" w:rsidRDefault="004168D5" w:rsidP="004168D5">
      <w:pPr>
        <w:pStyle w:val="Heading2"/>
        <w:spacing w:before="0" w:line="276" w:lineRule="auto"/>
        <w:jc w:val="both"/>
        <w:rPr>
          <w:rFonts w:ascii="Arial" w:eastAsia="Times New Roman" w:hAnsi="Arial" w:cs="Arial"/>
          <w:b/>
          <w:bCs/>
          <w:color w:val="0070C0"/>
          <w:sz w:val="22"/>
          <w:szCs w:val="22"/>
          <w:lang w:eastAsia="en-GB"/>
        </w:rPr>
      </w:pPr>
      <w:bookmarkStart w:id="20" w:name="_Toc116638089"/>
      <w:r w:rsidRPr="001E040F">
        <w:rPr>
          <w:rFonts w:ascii="Arial" w:eastAsia="Times New Roman" w:hAnsi="Arial" w:cs="Arial"/>
          <w:b/>
          <w:bCs/>
          <w:color w:val="0070C0"/>
          <w:sz w:val="22"/>
          <w:szCs w:val="22"/>
          <w:lang w:eastAsia="en-GB"/>
        </w:rPr>
        <w:t xml:space="preserve">3.2. </w:t>
      </w:r>
      <w:bookmarkStart w:id="21" w:name="_Hlk117508327"/>
      <w:r w:rsidRPr="001E040F">
        <w:rPr>
          <w:rFonts w:ascii="Arial" w:eastAsia="Times New Roman" w:hAnsi="Arial" w:cs="Arial"/>
          <w:b/>
          <w:bCs/>
          <w:color w:val="0070C0"/>
          <w:sz w:val="22"/>
          <w:szCs w:val="22"/>
          <w:lang w:eastAsia="en-GB"/>
        </w:rPr>
        <w:t>Government Expenditure</w:t>
      </w:r>
      <w:bookmarkEnd w:id="20"/>
      <w:bookmarkEnd w:id="21"/>
    </w:p>
    <w:p w14:paraId="13F87723" w14:textId="77777777" w:rsidR="004168D5" w:rsidRPr="009303C1" w:rsidRDefault="004168D5" w:rsidP="004168D5">
      <w:pPr>
        <w:shd w:val="clear" w:color="auto" w:fill="FFFFFF"/>
        <w:tabs>
          <w:tab w:val="left" w:pos="1770"/>
        </w:tabs>
        <w:spacing w:after="0" w:line="276" w:lineRule="auto"/>
        <w:jc w:val="both"/>
        <w:rPr>
          <w:rFonts w:ascii="Arial" w:hAnsi="Arial" w:cs="Arial"/>
          <w:lang w:val="en-GB"/>
        </w:rPr>
      </w:pPr>
    </w:p>
    <w:p w14:paraId="3DFF32BC" w14:textId="77777777" w:rsidR="004168D5" w:rsidRPr="009303C1" w:rsidRDefault="004168D5" w:rsidP="004168D5">
      <w:pPr>
        <w:shd w:val="clear" w:color="auto" w:fill="FFFFFF"/>
        <w:tabs>
          <w:tab w:val="left" w:pos="1770"/>
        </w:tabs>
        <w:spacing w:after="0" w:line="276" w:lineRule="auto"/>
        <w:jc w:val="both"/>
        <w:rPr>
          <w:rFonts w:ascii="Arial" w:hAnsi="Arial" w:cs="Arial"/>
          <w:shd w:val="clear" w:color="auto" w:fill="FFFFFF"/>
          <w:lang w:val="en-GB"/>
        </w:rPr>
      </w:pPr>
      <w:r w:rsidRPr="009303C1">
        <w:rPr>
          <w:rFonts w:ascii="Arial" w:hAnsi="Arial" w:cs="Arial"/>
          <w:lang w:val="en-GB"/>
        </w:rPr>
        <w:t xml:space="preserve">The February 2022 Budget estimated this year’s deficit to reach 5.7% of GDP in 2021/22. A consolidated budget deficit of 6% of GDP is projected for 2022/23, which narrows to 4.2 % of GDP in 2024/25. </w:t>
      </w:r>
      <w:r w:rsidRPr="009303C1">
        <w:rPr>
          <w:rFonts w:ascii="Arial" w:hAnsi="Arial" w:cs="Arial"/>
          <w:shd w:val="clear" w:color="auto" w:fill="FFFFFF"/>
          <w:lang w:val="en-GB"/>
        </w:rPr>
        <w:t xml:space="preserve">It is clear the current expenditure path is not sustainable as all the forms of welfare and deficit spending in the world cannot unlock new sources of capital formation, wealth generation and prosperity. </w:t>
      </w:r>
    </w:p>
    <w:p w14:paraId="024A38E8" w14:textId="77777777" w:rsidR="004168D5" w:rsidRPr="009303C1" w:rsidRDefault="004168D5" w:rsidP="004168D5">
      <w:pPr>
        <w:shd w:val="clear" w:color="auto" w:fill="FFFFFF"/>
        <w:tabs>
          <w:tab w:val="left" w:pos="1770"/>
        </w:tabs>
        <w:spacing w:after="0" w:line="276" w:lineRule="auto"/>
        <w:jc w:val="both"/>
        <w:rPr>
          <w:rFonts w:ascii="Arial" w:hAnsi="Arial" w:cs="Arial"/>
          <w:shd w:val="clear" w:color="auto" w:fill="FFFFFF"/>
          <w:lang w:val="en-GB"/>
        </w:rPr>
      </w:pPr>
    </w:p>
    <w:p w14:paraId="7475D141" w14:textId="77777777"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t>Furthermore, achieving a surplus while growing the economy through prudent fiscal management will be especially challenging given that the recent commodities boom, that provided some temporary reprieve to the fiscus through improved revenue, is over. It is therefore important for the Minister to resist the temptation of continuing to rely on recent tax overruns realised from the cyclical commodities upswing when Transnet is not even able to reach export targets nor transport the volumes of coal demanded by the energy-starved Northern hemisphere. In fact, South Africa is losing money in this regard; R 35 billion</w:t>
      </w:r>
      <w:r w:rsidRPr="009303C1">
        <w:rPr>
          <w:rStyle w:val="FootnoteReference"/>
          <w:rFonts w:ascii="Arial" w:hAnsi="Arial" w:cs="Arial"/>
          <w:lang w:val="en-GB"/>
        </w:rPr>
        <w:footnoteReference w:id="6"/>
      </w:r>
      <w:r w:rsidRPr="009303C1">
        <w:rPr>
          <w:rFonts w:ascii="Arial" w:hAnsi="Arial" w:cs="Arial"/>
          <w:lang w:val="en-GB"/>
        </w:rPr>
        <w:t xml:space="preserve"> in bulk mineral exports was lost in 2021 while R50 billion has been lost in 2022 so far.</w:t>
      </w:r>
    </w:p>
    <w:p w14:paraId="66E99490" w14:textId="77777777" w:rsidR="004168D5" w:rsidRPr="009303C1" w:rsidRDefault="004168D5" w:rsidP="004168D5">
      <w:pPr>
        <w:spacing w:after="0" w:line="276" w:lineRule="auto"/>
        <w:jc w:val="both"/>
        <w:rPr>
          <w:rFonts w:ascii="Arial" w:hAnsi="Arial" w:cs="Arial"/>
          <w:lang w:val="en-GB"/>
        </w:rPr>
      </w:pPr>
    </w:p>
    <w:p w14:paraId="29F54316" w14:textId="77777777" w:rsidR="004168D5" w:rsidRPr="009303C1" w:rsidRDefault="004168D5" w:rsidP="004168D5">
      <w:pPr>
        <w:spacing w:after="0" w:line="276" w:lineRule="auto"/>
        <w:jc w:val="both"/>
        <w:rPr>
          <w:rFonts w:ascii="Arial" w:hAnsi="Arial" w:cs="Arial"/>
          <w:lang w:val="en-GB"/>
        </w:rPr>
      </w:pPr>
    </w:p>
    <w:p w14:paraId="411B769D" w14:textId="77777777" w:rsidR="004168D5" w:rsidRPr="001E040F" w:rsidRDefault="004168D5" w:rsidP="004168D5">
      <w:pPr>
        <w:pStyle w:val="Heading3"/>
        <w:spacing w:before="0" w:line="276" w:lineRule="auto"/>
        <w:jc w:val="both"/>
        <w:rPr>
          <w:rFonts w:ascii="Arial" w:hAnsi="Arial" w:cs="Arial"/>
          <w:b/>
          <w:bCs/>
          <w:color w:val="0070C0"/>
          <w:sz w:val="22"/>
          <w:szCs w:val="22"/>
        </w:rPr>
      </w:pPr>
      <w:bookmarkStart w:id="22" w:name="_Toc116638090"/>
      <w:r w:rsidRPr="001E040F">
        <w:rPr>
          <w:rFonts w:ascii="Arial" w:hAnsi="Arial" w:cs="Arial"/>
          <w:b/>
          <w:bCs/>
          <w:color w:val="0070C0"/>
          <w:sz w:val="22"/>
          <w:szCs w:val="22"/>
        </w:rPr>
        <w:t>3.2.1. Wage Bill</w:t>
      </w:r>
      <w:bookmarkEnd w:id="22"/>
    </w:p>
    <w:p w14:paraId="55A233C9" w14:textId="77777777" w:rsidR="004168D5" w:rsidRPr="009303C1" w:rsidRDefault="004168D5" w:rsidP="004168D5">
      <w:pPr>
        <w:spacing w:after="0" w:line="276" w:lineRule="auto"/>
        <w:jc w:val="both"/>
        <w:rPr>
          <w:rFonts w:ascii="Arial" w:hAnsi="Arial" w:cs="Arial"/>
          <w:shd w:val="clear" w:color="auto" w:fill="FFFFFF"/>
          <w:lang w:val="en-GB"/>
        </w:rPr>
      </w:pPr>
    </w:p>
    <w:p w14:paraId="4AA97C30" w14:textId="77777777" w:rsidR="004168D5" w:rsidRPr="009303C1" w:rsidRDefault="004168D5" w:rsidP="004168D5">
      <w:pPr>
        <w:spacing w:after="0" w:line="276" w:lineRule="auto"/>
        <w:jc w:val="both"/>
        <w:rPr>
          <w:rFonts w:ascii="Arial" w:hAnsi="Arial" w:cs="Arial"/>
          <w:shd w:val="clear" w:color="auto" w:fill="FFFFFF"/>
          <w:lang w:val="en-GB"/>
        </w:rPr>
      </w:pPr>
      <w:bookmarkStart w:id="23" w:name="_Hlk117508385"/>
      <w:r w:rsidRPr="009303C1">
        <w:rPr>
          <w:rFonts w:ascii="Arial" w:hAnsi="Arial" w:cs="Arial"/>
          <w:shd w:val="clear" w:color="auto" w:fill="FFFFFF"/>
          <w:lang w:val="en-GB"/>
        </w:rPr>
        <w:t xml:space="preserve">The increase in debt and deficit spending did not result in increased spending on infrastructure and capital formation - instead, it funded consumption spending. Government salaries, specifically the ‘millionaire manager’ class, ballooned beyond what can be considered as </w:t>
      </w:r>
      <w:r w:rsidRPr="009303C1">
        <w:rPr>
          <w:rFonts w:ascii="Arial" w:hAnsi="Arial" w:cs="Arial"/>
          <w:shd w:val="clear" w:color="auto" w:fill="FFFFFF"/>
          <w:lang w:val="en-GB"/>
        </w:rPr>
        <w:lastRenderedPageBreak/>
        <w:t>sustainable and justifiable (given the lack of increase in output) – most notably in the areas of social work, transport, and central government administration.</w:t>
      </w:r>
    </w:p>
    <w:bookmarkEnd w:id="23"/>
    <w:p w14:paraId="630E12EE"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2DF917F8" w14:textId="4645AAD7" w:rsidR="004168D5" w:rsidRPr="009303C1" w:rsidRDefault="004168D5" w:rsidP="004168D5">
      <w:pPr>
        <w:autoSpaceDE w:val="0"/>
        <w:autoSpaceDN w:val="0"/>
        <w:adjustRightInd w:val="0"/>
        <w:spacing w:after="0" w:line="276" w:lineRule="auto"/>
        <w:jc w:val="both"/>
        <w:rPr>
          <w:rFonts w:ascii="Arial" w:hAnsi="Arial" w:cs="Arial"/>
          <w:lang w:val="en-GB"/>
        </w:rPr>
      </w:pPr>
      <w:r w:rsidRPr="009303C1">
        <w:rPr>
          <w:rFonts w:ascii="Arial" w:hAnsi="Arial" w:cs="Arial"/>
          <w:lang w:val="en-GB"/>
        </w:rPr>
        <w:t>Between 2014/15 and 2019/20, civil</w:t>
      </w:r>
      <w:r w:rsidRPr="009303C1">
        <w:rPr>
          <w:rFonts w:ascii="Cambria Math" w:hAnsi="Cambria Math" w:cs="Cambria Math"/>
          <w:lang w:val="en-GB"/>
        </w:rPr>
        <w:t>‐</w:t>
      </w:r>
      <w:r w:rsidRPr="009303C1">
        <w:rPr>
          <w:rFonts w:ascii="Arial" w:hAnsi="Arial" w:cs="Arial"/>
          <w:lang w:val="en-GB"/>
        </w:rPr>
        <w:t xml:space="preserve">service compensation grew above inflation at an average annual rate of 7.3 %. Between 2019/20 and the end of the MTEF period, it will grow at 2.1 % per year. As such the Minister must provide definitive assurance that government will resist increasing public sector wage increases for workers not compensated by the </w:t>
      </w:r>
      <w:r w:rsidR="00D51539" w:rsidRPr="009303C1">
        <w:rPr>
          <w:rFonts w:ascii="Arial" w:hAnsi="Arial" w:cs="Arial"/>
          <w:lang w:val="en-GB"/>
        </w:rPr>
        <w:t xml:space="preserve">Occupation Specific Dispensation </w:t>
      </w:r>
      <w:r w:rsidRPr="009303C1">
        <w:rPr>
          <w:rFonts w:ascii="Arial" w:hAnsi="Arial" w:cs="Arial"/>
          <w:lang w:val="en-GB"/>
        </w:rPr>
        <w:t xml:space="preserve">fund. </w:t>
      </w:r>
    </w:p>
    <w:p w14:paraId="481940F6"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0BDDFC3B" w14:textId="77777777"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t>The danger that double-digit inflation will become entrenched when wage settlements are above the Reserve Bank’s target band is a very real risk and once inflation expectations become de-anchored from the target, only drastic policy steps will work. The Minister can therefore not give in to the increasing pressures brought forward by trade unions and collective bargaining councils to artificially raise wages without the accompanying increase in output.</w:t>
      </w:r>
    </w:p>
    <w:p w14:paraId="5E221542" w14:textId="77777777" w:rsidR="004168D5" w:rsidRPr="009303C1" w:rsidRDefault="004168D5" w:rsidP="004168D5">
      <w:pPr>
        <w:spacing w:after="0" w:line="276" w:lineRule="auto"/>
        <w:jc w:val="both"/>
        <w:rPr>
          <w:rFonts w:ascii="Arial" w:hAnsi="Arial" w:cs="Arial"/>
          <w:lang w:val="en-GB"/>
        </w:rPr>
      </w:pPr>
    </w:p>
    <w:p w14:paraId="5C967D29" w14:textId="77777777" w:rsidR="004168D5" w:rsidRPr="009303C1" w:rsidRDefault="004168D5" w:rsidP="004168D5">
      <w:pPr>
        <w:spacing w:after="0" w:line="276" w:lineRule="auto"/>
        <w:jc w:val="both"/>
        <w:rPr>
          <w:rFonts w:ascii="Arial" w:hAnsi="Arial" w:cs="Arial"/>
          <w:lang w:val="en-GB"/>
        </w:rPr>
      </w:pPr>
    </w:p>
    <w:p w14:paraId="144C7539" w14:textId="32B92634" w:rsidR="004168D5" w:rsidRPr="001E040F" w:rsidRDefault="004168D5" w:rsidP="004168D5">
      <w:pPr>
        <w:pStyle w:val="Heading3"/>
        <w:spacing w:before="0" w:line="276" w:lineRule="auto"/>
        <w:jc w:val="both"/>
        <w:rPr>
          <w:rFonts w:ascii="Arial" w:hAnsi="Arial" w:cs="Arial"/>
          <w:b/>
          <w:bCs/>
          <w:color w:val="0070C0"/>
          <w:sz w:val="22"/>
          <w:szCs w:val="22"/>
        </w:rPr>
      </w:pPr>
      <w:bookmarkStart w:id="24" w:name="_Toc116638091"/>
      <w:r w:rsidRPr="001E040F">
        <w:rPr>
          <w:rFonts w:ascii="Arial" w:hAnsi="Arial" w:cs="Arial"/>
          <w:b/>
          <w:bCs/>
          <w:color w:val="0070C0"/>
          <w:sz w:val="22"/>
          <w:szCs w:val="22"/>
        </w:rPr>
        <w:t>3.2.2. DA Expenditure Cut Proposals</w:t>
      </w:r>
      <w:bookmarkEnd w:id="24"/>
    </w:p>
    <w:p w14:paraId="5439D1B0" w14:textId="77777777" w:rsidR="004168D5" w:rsidRPr="009303C1" w:rsidRDefault="004168D5" w:rsidP="004168D5">
      <w:pPr>
        <w:spacing w:after="0" w:line="276" w:lineRule="auto"/>
        <w:jc w:val="both"/>
        <w:rPr>
          <w:rFonts w:ascii="Arial" w:hAnsi="Arial" w:cs="Arial"/>
          <w:lang w:val="en-GB"/>
        </w:rPr>
      </w:pPr>
    </w:p>
    <w:p w14:paraId="492E3FCD" w14:textId="77777777"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t>In this regard, the DA proposes the following cuts from the budget:</w:t>
      </w:r>
    </w:p>
    <w:p w14:paraId="0E5286C6" w14:textId="77777777" w:rsidR="004168D5" w:rsidRPr="009303C1" w:rsidRDefault="004168D5" w:rsidP="004168D5">
      <w:pPr>
        <w:spacing w:after="0" w:line="276" w:lineRule="auto"/>
        <w:jc w:val="both"/>
        <w:rPr>
          <w:rFonts w:ascii="Arial" w:hAnsi="Arial" w:cs="Arial"/>
          <w:lang w:val="en-GB"/>
        </w:rPr>
      </w:pPr>
    </w:p>
    <w:p w14:paraId="0F09119B" w14:textId="77777777" w:rsidR="004168D5" w:rsidRPr="009303C1" w:rsidRDefault="004168D5" w:rsidP="004168D5">
      <w:pPr>
        <w:pStyle w:val="ListParagraph"/>
        <w:numPr>
          <w:ilvl w:val="0"/>
          <w:numId w:val="26"/>
        </w:numPr>
        <w:spacing w:after="0" w:line="276" w:lineRule="auto"/>
        <w:jc w:val="both"/>
        <w:rPr>
          <w:rFonts w:ascii="Arial" w:hAnsi="Arial" w:cs="Arial"/>
          <w:lang w:val="en-GB"/>
        </w:rPr>
      </w:pPr>
      <w:r w:rsidRPr="009303C1">
        <w:rPr>
          <w:rFonts w:ascii="Arial" w:hAnsi="Arial" w:cs="Arial"/>
          <w:lang w:val="en-GB"/>
        </w:rPr>
        <w:t>In order to address the public sector wage bill conundrum, the DA proposes freezing the wages of public servants not covered by the Occupation Specific Dispensation (OSD) (including the likes of head-office managers and supervisors) over the three-year MTEF period. This would yield savings of R140 billion.</w:t>
      </w:r>
    </w:p>
    <w:p w14:paraId="69F51935" w14:textId="77777777" w:rsidR="004168D5" w:rsidRPr="009303C1" w:rsidRDefault="004168D5" w:rsidP="004168D5">
      <w:pPr>
        <w:pStyle w:val="ListParagraph"/>
        <w:numPr>
          <w:ilvl w:val="0"/>
          <w:numId w:val="26"/>
        </w:numPr>
        <w:spacing w:after="0" w:line="276" w:lineRule="auto"/>
        <w:jc w:val="both"/>
        <w:rPr>
          <w:rFonts w:ascii="Arial" w:hAnsi="Arial" w:cs="Arial"/>
          <w:lang w:val="en-GB"/>
        </w:rPr>
      </w:pPr>
      <w:r w:rsidRPr="009303C1">
        <w:rPr>
          <w:rFonts w:ascii="Arial" w:hAnsi="Arial" w:cs="Arial"/>
          <w:lang w:val="en-GB"/>
        </w:rPr>
        <w:t xml:space="preserve">In addition, the government can save another R60 billion over the MTEF period by reducing the number of ‘millionaire managers’ in the civil service. </w:t>
      </w:r>
    </w:p>
    <w:p w14:paraId="7AD50567" w14:textId="44A24E94" w:rsidR="004168D5" w:rsidRPr="009303C1" w:rsidRDefault="004168D5" w:rsidP="004168D5">
      <w:pPr>
        <w:pStyle w:val="ListParagraph"/>
        <w:numPr>
          <w:ilvl w:val="0"/>
          <w:numId w:val="21"/>
        </w:numPr>
        <w:spacing w:after="0" w:line="276" w:lineRule="auto"/>
        <w:jc w:val="both"/>
        <w:rPr>
          <w:rFonts w:ascii="Arial" w:hAnsi="Arial" w:cs="Arial"/>
          <w:lang w:val="en-GB"/>
        </w:rPr>
      </w:pPr>
      <w:r w:rsidRPr="009303C1">
        <w:rPr>
          <w:rFonts w:ascii="Arial" w:hAnsi="Arial" w:cs="Arial"/>
          <w:lang w:val="en-GB"/>
        </w:rPr>
        <w:t>R1</w:t>
      </w:r>
      <w:r w:rsidR="00EA4C41" w:rsidRPr="009303C1">
        <w:rPr>
          <w:rFonts w:ascii="Arial" w:hAnsi="Arial" w:cs="Arial"/>
          <w:lang w:val="en-GB"/>
        </w:rPr>
        <w:t xml:space="preserve">8 </w:t>
      </w:r>
      <w:r w:rsidR="00CC136F" w:rsidRPr="009303C1">
        <w:rPr>
          <w:rFonts w:ascii="Arial" w:hAnsi="Arial" w:cs="Arial"/>
          <w:lang w:val="en-GB"/>
        </w:rPr>
        <w:t>m</w:t>
      </w:r>
      <w:r w:rsidRPr="009303C1">
        <w:rPr>
          <w:rFonts w:ascii="Arial" w:hAnsi="Arial" w:cs="Arial"/>
          <w:lang w:val="en-GB"/>
        </w:rPr>
        <w:t xml:space="preserve">illion saved by </w:t>
      </w:r>
      <w:r w:rsidR="00EA4C41" w:rsidRPr="009303C1">
        <w:rPr>
          <w:rFonts w:ascii="Arial" w:hAnsi="Arial" w:cs="Arial"/>
          <w:lang w:val="en-GB"/>
        </w:rPr>
        <w:t>freezing</w:t>
      </w:r>
      <w:r w:rsidRPr="009303C1">
        <w:rPr>
          <w:rFonts w:ascii="Arial" w:hAnsi="Arial" w:cs="Arial"/>
          <w:lang w:val="en-GB"/>
        </w:rPr>
        <w:t xml:space="preserve"> the New Development Bank funding by </w:t>
      </w:r>
      <w:r w:rsidR="00EA4C41" w:rsidRPr="009303C1">
        <w:rPr>
          <w:rFonts w:ascii="Arial" w:hAnsi="Arial" w:cs="Arial"/>
          <w:lang w:val="en-GB"/>
        </w:rPr>
        <w:t>over the MTEF</w:t>
      </w:r>
    </w:p>
    <w:p w14:paraId="593D49FC" w14:textId="3444A809" w:rsidR="004168D5" w:rsidRPr="009303C1" w:rsidRDefault="004168D5" w:rsidP="004168D5">
      <w:pPr>
        <w:pStyle w:val="ListParagraph"/>
        <w:numPr>
          <w:ilvl w:val="0"/>
          <w:numId w:val="21"/>
        </w:numPr>
        <w:spacing w:after="0" w:line="276" w:lineRule="auto"/>
        <w:jc w:val="both"/>
        <w:rPr>
          <w:rFonts w:ascii="Arial" w:hAnsi="Arial" w:cs="Arial"/>
          <w:lang w:val="en-GB"/>
        </w:rPr>
      </w:pPr>
      <w:r w:rsidRPr="009303C1">
        <w:rPr>
          <w:rFonts w:ascii="Arial" w:hAnsi="Arial" w:cs="Arial"/>
          <w:lang w:val="en-GB"/>
        </w:rPr>
        <w:t>R1 billion by reducing fruitless and wasteful expenditure in Government entities</w:t>
      </w:r>
      <w:r w:rsidR="008B4DF5" w:rsidRPr="009303C1">
        <w:rPr>
          <w:rFonts w:ascii="Arial" w:hAnsi="Arial" w:cs="Arial"/>
          <w:lang w:val="en-GB"/>
        </w:rPr>
        <w:t xml:space="preserve"> over the MTEF</w:t>
      </w:r>
    </w:p>
    <w:p w14:paraId="1F4C3545" w14:textId="6EA677AF" w:rsidR="004168D5" w:rsidRPr="009303C1" w:rsidRDefault="004168D5" w:rsidP="004168D5">
      <w:pPr>
        <w:pStyle w:val="ListParagraph"/>
        <w:numPr>
          <w:ilvl w:val="0"/>
          <w:numId w:val="21"/>
        </w:numPr>
        <w:spacing w:after="0" w:line="276" w:lineRule="auto"/>
        <w:jc w:val="both"/>
        <w:rPr>
          <w:rFonts w:ascii="Arial" w:hAnsi="Arial" w:cs="Arial"/>
          <w:lang w:val="en-GB"/>
        </w:rPr>
      </w:pPr>
      <w:r w:rsidRPr="009303C1">
        <w:rPr>
          <w:rFonts w:ascii="Arial" w:hAnsi="Arial" w:cs="Arial"/>
          <w:lang w:val="en-GB"/>
        </w:rPr>
        <w:t>R</w:t>
      </w:r>
      <w:r w:rsidR="00CC136F" w:rsidRPr="009303C1">
        <w:rPr>
          <w:rFonts w:ascii="Arial" w:hAnsi="Arial" w:cs="Arial"/>
          <w:lang w:val="en-GB"/>
        </w:rPr>
        <w:t>5.25</w:t>
      </w:r>
      <w:r w:rsidRPr="009303C1">
        <w:rPr>
          <w:rFonts w:ascii="Arial" w:hAnsi="Arial" w:cs="Arial"/>
          <w:lang w:val="en-GB"/>
        </w:rPr>
        <w:t xml:space="preserve"> billion</w:t>
      </w:r>
      <w:r w:rsidR="00CC136F" w:rsidRPr="009303C1">
        <w:rPr>
          <w:rFonts w:ascii="Arial" w:hAnsi="Arial" w:cs="Arial"/>
          <w:lang w:val="en-GB"/>
        </w:rPr>
        <w:t xml:space="preserve"> over the MTEF</w:t>
      </w:r>
      <w:r w:rsidRPr="009303C1">
        <w:rPr>
          <w:rFonts w:ascii="Arial" w:hAnsi="Arial" w:cs="Arial"/>
          <w:lang w:val="en-GB"/>
        </w:rPr>
        <w:t xml:space="preserve"> by slashing VIP Protection and Security Services  </w:t>
      </w:r>
    </w:p>
    <w:p w14:paraId="49A4610C" w14:textId="083F9A90" w:rsidR="004168D5" w:rsidRPr="009303C1" w:rsidRDefault="004168D5" w:rsidP="004168D5">
      <w:pPr>
        <w:pStyle w:val="ListParagraph"/>
        <w:numPr>
          <w:ilvl w:val="0"/>
          <w:numId w:val="21"/>
        </w:numPr>
        <w:spacing w:after="0" w:line="276" w:lineRule="auto"/>
        <w:jc w:val="both"/>
        <w:rPr>
          <w:rFonts w:ascii="Arial" w:hAnsi="Arial" w:cs="Arial"/>
          <w:lang w:val="en-GB"/>
        </w:rPr>
      </w:pPr>
      <w:r w:rsidRPr="009303C1">
        <w:rPr>
          <w:rFonts w:ascii="Arial" w:hAnsi="Arial" w:cs="Arial"/>
          <w:lang w:val="en-GB"/>
        </w:rPr>
        <w:t>R</w:t>
      </w:r>
      <w:r w:rsidR="008B4DF5" w:rsidRPr="009303C1">
        <w:rPr>
          <w:rFonts w:ascii="Arial" w:hAnsi="Arial" w:cs="Arial"/>
          <w:lang w:val="en-GB"/>
        </w:rPr>
        <w:t>4</w:t>
      </w:r>
      <w:r w:rsidRPr="009303C1">
        <w:rPr>
          <w:rFonts w:ascii="Arial" w:hAnsi="Arial" w:cs="Arial"/>
          <w:lang w:val="en-GB"/>
        </w:rPr>
        <w:t>.5 billion shutting down the NYDA</w:t>
      </w:r>
      <w:r w:rsidR="008B4DF5" w:rsidRPr="009303C1">
        <w:rPr>
          <w:rFonts w:ascii="Arial" w:hAnsi="Arial" w:cs="Arial"/>
          <w:lang w:val="en-GB"/>
        </w:rPr>
        <w:t xml:space="preserve"> over the MTEF</w:t>
      </w:r>
    </w:p>
    <w:p w14:paraId="422BE00D" w14:textId="77777777" w:rsidR="004168D5" w:rsidRPr="009303C1" w:rsidRDefault="004168D5" w:rsidP="004168D5">
      <w:pPr>
        <w:pStyle w:val="ListParagraph"/>
        <w:numPr>
          <w:ilvl w:val="0"/>
          <w:numId w:val="21"/>
        </w:numPr>
        <w:spacing w:after="0" w:line="276" w:lineRule="auto"/>
        <w:jc w:val="both"/>
        <w:rPr>
          <w:rFonts w:ascii="Arial" w:hAnsi="Arial" w:cs="Arial"/>
          <w:lang w:val="en-GB"/>
        </w:rPr>
      </w:pPr>
      <w:r w:rsidRPr="009303C1">
        <w:rPr>
          <w:rFonts w:ascii="Arial" w:hAnsi="Arial" w:cs="Arial"/>
          <w:lang w:val="en-GB"/>
        </w:rPr>
        <w:t xml:space="preserve">R4.68 billion over the MTEF through cutting the budget for the National Health Insurance </w:t>
      </w:r>
    </w:p>
    <w:p w14:paraId="283F32A2" w14:textId="48720914" w:rsidR="004168D5" w:rsidRPr="009303C1" w:rsidRDefault="004168D5" w:rsidP="004168D5">
      <w:pPr>
        <w:pStyle w:val="ListParagraph"/>
        <w:numPr>
          <w:ilvl w:val="0"/>
          <w:numId w:val="21"/>
        </w:numPr>
        <w:spacing w:after="0" w:line="276" w:lineRule="auto"/>
        <w:jc w:val="both"/>
        <w:rPr>
          <w:rFonts w:ascii="Arial" w:hAnsi="Arial" w:cs="Arial"/>
          <w:lang w:val="en-GB"/>
        </w:rPr>
      </w:pPr>
      <w:r w:rsidRPr="009303C1">
        <w:rPr>
          <w:rFonts w:ascii="Arial" w:hAnsi="Arial" w:cs="Arial"/>
          <w:lang w:val="en-GB"/>
        </w:rPr>
        <w:t>R</w:t>
      </w:r>
      <w:r w:rsidR="00BD5A97" w:rsidRPr="009303C1">
        <w:rPr>
          <w:rFonts w:ascii="Arial" w:hAnsi="Arial" w:cs="Arial"/>
          <w:lang w:val="en-GB"/>
        </w:rPr>
        <w:t>15</w:t>
      </w:r>
      <w:r w:rsidRPr="009303C1">
        <w:rPr>
          <w:rFonts w:ascii="Arial" w:hAnsi="Arial" w:cs="Arial"/>
          <w:lang w:val="en-GB"/>
        </w:rPr>
        <w:t xml:space="preserve"> billion over the MTEF period through more efficient procurement and a focus on reducing irregular expenditure and corruption</w:t>
      </w:r>
    </w:p>
    <w:p w14:paraId="1B863783" w14:textId="77777777" w:rsidR="004168D5" w:rsidRPr="009303C1" w:rsidRDefault="004168D5" w:rsidP="004168D5">
      <w:pPr>
        <w:pStyle w:val="ListParagraph"/>
        <w:numPr>
          <w:ilvl w:val="0"/>
          <w:numId w:val="21"/>
        </w:numPr>
        <w:spacing w:after="0" w:line="276" w:lineRule="auto"/>
        <w:jc w:val="both"/>
        <w:rPr>
          <w:rFonts w:ascii="Arial" w:hAnsi="Arial" w:cs="Arial"/>
          <w:lang w:val="en-GB"/>
        </w:rPr>
      </w:pPr>
      <w:r w:rsidRPr="009303C1">
        <w:rPr>
          <w:rFonts w:ascii="Arial" w:hAnsi="Arial" w:cs="Arial"/>
          <w:lang w:val="en-GB"/>
        </w:rPr>
        <w:t xml:space="preserve">R50 million saved from cancelling the Cuba donation </w:t>
      </w:r>
    </w:p>
    <w:p w14:paraId="070C5B15" w14:textId="2F75B000" w:rsidR="004168D5" w:rsidRPr="009303C1" w:rsidRDefault="004168D5" w:rsidP="004168D5">
      <w:pPr>
        <w:pStyle w:val="ListParagraph"/>
        <w:numPr>
          <w:ilvl w:val="0"/>
          <w:numId w:val="21"/>
        </w:numPr>
        <w:spacing w:after="0" w:line="276" w:lineRule="auto"/>
        <w:jc w:val="both"/>
        <w:rPr>
          <w:rFonts w:ascii="Arial" w:hAnsi="Arial" w:cs="Arial"/>
          <w:lang w:val="en-GB"/>
        </w:rPr>
      </w:pPr>
      <w:r w:rsidRPr="009303C1">
        <w:rPr>
          <w:rFonts w:ascii="Arial" w:hAnsi="Arial" w:cs="Arial"/>
          <w:lang w:val="en-GB"/>
        </w:rPr>
        <w:t>R</w:t>
      </w:r>
      <w:r w:rsidR="00C810C2" w:rsidRPr="009303C1">
        <w:rPr>
          <w:rFonts w:ascii="Arial" w:hAnsi="Arial" w:cs="Arial"/>
          <w:lang w:val="en-GB"/>
        </w:rPr>
        <w:t>8.2</w:t>
      </w:r>
      <w:r w:rsidRPr="009303C1">
        <w:rPr>
          <w:rFonts w:ascii="Arial" w:hAnsi="Arial" w:cs="Arial"/>
          <w:lang w:val="en-GB"/>
        </w:rPr>
        <w:t xml:space="preserve"> billion saved by Ministerial Department and other catering, accommodation, and entertainment </w:t>
      </w:r>
    </w:p>
    <w:p w14:paraId="46943C75" w14:textId="0EE2C006" w:rsidR="004168D5" w:rsidRPr="009303C1" w:rsidRDefault="004168D5" w:rsidP="004168D5">
      <w:pPr>
        <w:tabs>
          <w:tab w:val="left" w:pos="3143"/>
        </w:tabs>
        <w:spacing w:after="0" w:line="276" w:lineRule="auto"/>
        <w:jc w:val="both"/>
        <w:rPr>
          <w:rFonts w:ascii="Arial" w:hAnsi="Arial" w:cs="Arial"/>
          <w:lang w:val="en-GB"/>
        </w:rPr>
      </w:pPr>
    </w:p>
    <w:p w14:paraId="3FE02474" w14:textId="77777777" w:rsidR="004168D5" w:rsidRPr="009303C1" w:rsidRDefault="004168D5" w:rsidP="004168D5">
      <w:pPr>
        <w:tabs>
          <w:tab w:val="left" w:pos="3143"/>
        </w:tabs>
        <w:spacing w:after="0" w:line="276" w:lineRule="auto"/>
        <w:jc w:val="both"/>
        <w:rPr>
          <w:rFonts w:ascii="Arial" w:hAnsi="Arial" w:cs="Arial"/>
          <w:lang w:val="en-GB"/>
        </w:rPr>
      </w:pPr>
    </w:p>
    <w:p w14:paraId="14E348B7" w14:textId="755F1005" w:rsidR="004168D5" w:rsidRPr="001E040F" w:rsidRDefault="004168D5" w:rsidP="004168D5">
      <w:pPr>
        <w:pStyle w:val="Heading1"/>
        <w:numPr>
          <w:ilvl w:val="0"/>
          <w:numId w:val="30"/>
        </w:numPr>
        <w:spacing w:before="0" w:line="276" w:lineRule="auto"/>
        <w:jc w:val="both"/>
        <w:rPr>
          <w:rFonts w:ascii="Arial" w:hAnsi="Arial" w:cs="Arial"/>
          <w:b/>
          <w:bCs/>
          <w:color w:val="0070C0"/>
          <w:sz w:val="22"/>
          <w:szCs w:val="22"/>
          <w:u w:val="single"/>
        </w:rPr>
      </w:pPr>
      <w:bookmarkStart w:id="25" w:name="_Toc116638092"/>
      <w:bookmarkStart w:id="26" w:name="_Hlk117508414"/>
      <w:r w:rsidRPr="001E040F">
        <w:rPr>
          <w:rFonts w:ascii="Arial" w:hAnsi="Arial" w:cs="Arial"/>
          <w:b/>
          <w:bCs/>
          <w:color w:val="0070C0"/>
          <w:sz w:val="22"/>
          <w:szCs w:val="22"/>
          <w:u w:val="single"/>
        </w:rPr>
        <w:t>Support for Vulnerable South Africans</w:t>
      </w:r>
      <w:bookmarkEnd w:id="25"/>
      <w:r w:rsidRPr="001E040F">
        <w:rPr>
          <w:rFonts w:ascii="Arial" w:hAnsi="Arial" w:cs="Arial"/>
          <w:b/>
          <w:bCs/>
          <w:color w:val="0070C0"/>
          <w:sz w:val="22"/>
          <w:szCs w:val="22"/>
          <w:u w:val="single"/>
        </w:rPr>
        <w:t xml:space="preserve"> </w:t>
      </w:r>
    </w:p>
    <w:bookmarkEnd w:id="26"/>
    <w:p w14:paraId="6E694E66"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58F1888D" w14:textId="77777777" w:rsidR="004168D5" w:rsidRPr="009303C1" w:rsidRDefault="004168D5" w:rsidP="004168D5">
      <w:pPr>
        <w:tabs>
          <w:tab w:val="left" w:pos="3998"/>
        </w:tabs>
        <w:spacing w:after="0" w:line="276" w:lineRule="auto"/>
        <w:jc w:val="both"/>
        <w:rPr>
          <w:rFonts w:ascii="Arial" w:hAnsi="Arial" w:cs="Arial"/>
          <w:lang w:val="en-GB"/>
        </w:rPr>
      </w:pPr>
      <w:r w:rsidRPr="009303C1">
        <w:rPr>
          <w:rFonts w:ascii="Arial" w:hAnsi="Arial" w:cs="Arial"/>
          <w:lang w:val="en-GB"/>
        </w:rPr>
        <w:t xml:space="preserve">Today, </w:t>
      </w:r>
      <w:bookmarkStart w:id="27" w:name="_Hlk117508434"/>
      <w:r w:rsidRPr="009303C1">
        <w:rPr>
          <w:rFonts w:ascii="Arial" w:hAnsi="Arial" w:cs="Arial"/>
          <w:lang w:val="en-GB"/>
        </w:rPr>
        <w:t>poor, and vulnerable South Africans continue to shoulder most of the economic burden caused by a post pandemic recovery that leaves much to be desired. This is compounded by unstable international conditions and hostile ANC policies that discourage economic participation and increase living costs</w:t>
      </w:r>
      <w:bookmarkEnd w:id="27"/>
      <w:r w:rsidRPr="009303C1">
        <w:rPr>
          <w:rFonts w:ascii="Arial" w:hAnsi="Arial" w:cs="Arial"/>
          <w:lang w:val="en-GB"/>
        </w:rPr>
        <w:t xml:space="preserve">. </w:t>
      </w:r>
    </w:p>
    <w:p w14:paraId="45107FD6" w14:textId="77777777" w:rsidR="004168D5" w:rsidRPr="009303C1" w:rsidRDefault="004168D5" w:rsidP="004168D5">
      <w:pPr>
        <w:tabs>
          <w:tab w:val="left" w:pos="3998"/>
        </w:tabs>
        <w:spacing w:after="0" w:line="276" w:lineRule="auto"/>
        <w:jc w:val="both"/>
        <w:rPr>
          <w:rFonts w:ascii="Arial" w:hAnsi="Arial" w:cs="Arial"/>
          <w:lang w:val="en-GB"/>
        </w:rPr>
      </w:pPr>
    </w:p>
    <w:p w14:paraId="2504FCD3" w14:textId="2A8B72CB" w:rsidR="004168D5" w:rsidRPr="009303C1" w:rsidRDefault="004168D5" w:rsidP="004168D5">
      <w:pPr>
        <w:tabs>
          <w:tab w:val="left" w:pos="3998"/>
        </w:tabs>
        <w:spacing w:after="0" w:line="276" w:lineRule="auto"/>
        <w:jc w:val="both"/>
        <w:rPr>
          <w:rFonts w:ascii="Arial" w:hAnsi="Arial" w:cs="Arial"/>
          <w:lang w:val="en-GB"/>
        </w:rPr>
      </w:pPr>
      <w:r w:rsidRPr="009303C1">
        <w:rPr>
          <w:rFonts w:ascii="Arial" w:hAnsi="Arial" w:cs="Arial"/>
          <w:lang w:val="en-GB"/>
        </w:rPr>
        <w:lastRenderedPageBreak/>
        <w:t>According to the 2021/22 Budget</w:t>
      </w:r>
      <w:r w:rsidR="00D51539" w:rsidRPr="009303C1">
        <w:rPr>
          <w:rFonts w:ascii="Arial" w:hAnsi="Arial" w:cs="Arial"/>
          <w:lang w:val="en-GB"/>
        </w:rPr>
        <w:t>,</w:t>
      </w:r>
      <w:r w:rsidRPr="009303C1">
        <w:rPr>
          <w:rFonts w:ascii="Arial" w:hAnsi="Arial" w:cs="Arial"/>
          <w:lang w:val="en-GB"/>
        </w:rPr>
        <w:t xml:space="preserve"> Government’s medium</w:t>
      </w:r>
      <w:r w:rsidRPr="009303C1">
        <w:rPr>
          <w:rFonts w:ascii="Cambria Math" w:hAnsi="Cambria Math" w:cs="Cambria Math"/>
          <w:lang w:val="en-GB"/>
        </w:rPr>
        <w:t>‐</w:t>
      </w:r>
      <w:r w:rsidRPr="009303C1">
        <w:rPr>
          <w:rFonts w:ascii="Arial" w:hAnsi="Arial" w:cs="Arial"/>
          <w:lang w:val="en-GB"/>
        </w:rPr>
        <w:t>term spending plans include an allocation of R3.33 trillion for the social wage. The budget also set aside R44 billion to extend the special COVID</w:t>
      </w:r>
      <w:r w:rsidRPr="009303C1">
        <w:rPr>
          <w:rFonts w:ascii="Cambria Math" w:hAnsi="Cambria Math" w:cs="Cambria Math"/>
          <w:lang w:val="en-GB"/>
        </w:rPr>
        <w:t>‐</w:t>
      </w:r>
      <w:r w:rsidRPr="009303C1">
        <w:rPr>
          <w:rFonts w:ascii="Arial" w:hAnsi="Arial" w:cs="Arial"/>
          <w:lang w:val="en-GB"/>
        </w:rPr>
        <w:t>19 social relief of distress grant to March 2023. The February Budget also allowed for spending on social wages to rise from 58.2% to 59.5% of consolidated non</w:t>
      </w:r>
      <w:r w:rsidRPr="009303C1">
        <w:rPr>
          <w:rFonts w:ascii="Cambria Math" w:hAnsi="Cambria Math" w:cs="Cambria Math"/>
          <w:lang w:val="en-GB"/>
        </w:rPr>
        <w:t>‐</w:t>
      </w:r>
      <w:r w:rsidRPr="009303C1">
        <w:rPr>
          <w:rFonts w:ascii="Arial" w:hAnsi="Arial" w:cs="Arial"/>
          <w:lang w:val="en-GB"/>
        </w:rPr>
        <w:t xml:space="preserve">interest spending between 2019/20 and 2021/22. </w:t>
      </w:r>
    </w:p>
    <w:p w14:paraId="4B63FA73" w14:textId="77777777" w:rsidR="004168D5" w:rsidRPr="009303C1" w:rsidRDefault="004168D5" w:rsidP="004168D5">
      <w:pPr>
        <w:tabs>
          <w:tab w:val="left" w:pos="3998"/>
        </w:tabs>
        <w:spacing w:after="0" w:line="276" w:lineRule="auto"/>
        <w:jc w:val="both"/>
        <w:rPr>
          <w:rFonts w:ascii="Arial" w:hAnsi="Arial" w:cs="Arial"/>
          <w:lang w:val="en-GB"/>
        </w:rPr>
      </w:pPr>
    </w:p>
    <w:p w14:paraId="558BF8C6" w14:textId="77777777" w:rsidR="004168D5" w:rsidRPr="009303C1" w:rsidRDefault="004168D5" w:rsidP="004168D5">
      <w:pPr>
        <w:tabs>
          <w:tab w:val="left" w:pos="3998"/>
        </w:tabs>
        <w:spacing w:after="0" w:line="276" w:lineRule="auto"/>
        <w:jc w:val="both"/>
        <w:rPr>
          <w:rFonts w:ascii="Arial" w:hAnsi="Arial" w:cs="Arial"/>
          <w:lang w:val="en-GB"/>
        </w:rPr>
      </w:pPr>
      <w:r w:rsidRPr="009303C1">
        <w:rPr>
          <w:rFonts w:ascii="Arial" w:hAnsi="Arial" w:cs="Arial"/>
          <w:lang w:val="en-GB"/>
        </w:rPr>
        <w:t xml:space="preserve">Nearly half of the population currently receives at least one social grant from the state. This is not sustainable. Yet, due to the sheer number of South Africans living in absolute poverty, Government spending on direct support for the poor must be protected from cuts. </w:t>
      </w:r>
    </w:p>
    <w:p w14:paraId="75D3AC74" w14:textId="77777777" w:rsidR="004168D5" w:rsidRPr="009303C1" w:rsidRDefault="004168D5" w:rsidP="004168D5">
      <w:pPr>
        <w:spacing w:after="0" w:line="276" w:lineRule="auto"/>
        <w:jc w:val="both"/>
        <w:rPr>
          <w:rFonts w:ascii="Arial" w:hAnsi="Arial" w:cs="Arial"/>
          <w:lang w:val="en-GB"/>
        </w:rPr>
      </w:pPr>
    </w:p>
    <w:p w14:paraId="548BC6E4" w14:textId="77777777" w:rsidR="004168D5" w:rsidRPr="009303C1" w:rsidRDefault="004168D5" w:rsidP="004168D5">
      <w:pPr>
        <w:spacing w:after="0" w:line="276" w:lineRule="auto"/>
        <w:jc w:val="both"/>
        <w:rPr>
          <w:rFonts w:ascii="Arial" w:hAnsi="Arial" w:cs="Arial"/>
          <w:lang w:val="en-GB"/>
        </w:rPr>
      </w:pPr>
      <w:bookmarkStart w:id="28" w:name="_Hlk117508451"/>
      <w:r w:rsidRPr="009303C1">
        <w:rPr>
          <w:rFonts w:ascii="Arial" w:hAnsi="Arial" w:cs="Arial"/>
          <w:lang w:val="en-GB"/>
        </w:rPr>
        <w:t xml:space="preserve">In this regard, the DA’s intricate policy reform framework enables the financing for the rollout of a vast and sustainable social welfare net. It does so not by spending lavishly, but through running a budget surplus and generating economic growth that is guided by the DA’s policy. The savings on the government’s interest bill alone will be sufficient to finance much of the initial rollout. </w:t>
      </w:r>
    </w:p>
    <w:bookmarkEnd w:id="28"/>
    <w:p w14:paraId="1159F046"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42635FEE" w14:textId="77777777" w:rsidR="004168D5" w:rsidRPr="009303C1" w:rsidRDefault="004168D5" w:rsidP="004168D5">
      <w:pPr>
        <w:autoSpaceDE w:val="0"/>
        <w:autoSpaceDN w:val="0"/>
        <w:adjustRightInd w:val="0"/>
        <w:spacing w:after="0" w:line="276" w:lineRule="auto"/>
        <w:jc w:val="both"/>
        <w:rPr>
          <w:rFonts w:ascii="Arial" w:hAnsi="Arial" w:cs="Arial"/>
          <w:lang w:val="en-GB"/>
        </w:rPr>
      </w:pPr>
      <w:r w:rsidRPr="009303C1">
        <w:rPr>
          <w:rFonts w:ascii="Arial" w:hAnsi="Arial" w:cs="Arial"/>
          <w:lang w:val="en-GB"/>
        </w:rPr>
        <w:t>The DA’s emphasis on the need to stimulate the economic growth dividend is informed by the proven metric that growth based on pragmatic principles generates ample employment opportunities, promotes investment and capital formation, and improves revenue collection. Prioritizing economic growth is therefore the fundamental step to uplifting South Africans out of absolute poverty, providing support for the unemployed, and initiating the formation of human and physical capital.</w:t>
      </w:r>
    </w:p>
    <w:p w14:paraId="796417A2"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0FEB8A74" w14:textId="77777777" w:rsidR="004168D5" w:rsidRPr="009303C1" w:rsidRDefault="004168D5" w:rsidP="004168D5">
      <w:pPr>
        <w:autoSpaceDE w:val="0"/>
        <w:autoSpaceDN w:val="0"/>
        <w:adjustRightInd w:val="0"/>
        <w:spacing w:after="0" w:line="276" w:lineRule="auto"/>
        <w:jc w:val="both"/>
        <w:rPr>
          <w:rFonts w:ascii="Arial" w:hAnsi="Arial" w:cs="Arial"/>
          <w:lang w:val="en-GB"/>
        </w:rPr>
      </w:pPr>
      <w:r w:rsidRPr="009303C1">
        <w:rPr>
          <w:rFonts w:ascii="Arial" w:hAnsi="Arial" w:cs="Arial"/>
          <w:lang w:val="en-GB"/>
        </w:rPr>
        <w:t>With the savings realised from the DA’s targeted spending, savings, and the implementation of the DA’s policy framework targeted at uplifting the poor, the DA commits to protecting inflationary increases in social grants. This would entail social grant increases in excess of     R35 billion over three years.</w:t>
      </w:r>
    </w:p>
    <w:p w14:paraId="5A2B4D7F"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4A48D44F"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6705A600" w14:textId="71ED4FF7" w:rsidR="004168D5" w:rsidRPr="001E040F" w:rsidRDefault="004168D5" w:rsidP="004168D5">
      <w:pPr>
        <w:pStyle w:val="Heading2"/>
        <w:spacing w:before="0" w:line="276" w:lineRule="auto"/>
        <w:jc w:val="both"/>
        <w:rPr>
          <w:rFonts w:ascii="Arial" w:hAnsi="Arial" w:cs="Arial"/>
          <w:b/>
          <w:bCs/>
          <w:color w:val="0070C0"/>
          <w:sz w:val="22"/>
          <w:szCs w:val="22"/>
        </w:rPr>
      </w:pPr>
      <w:bookmarkStart w:id="29" w:name="_Toc116638093"/>
      <w:r w:rsidRPr="001E040F">
        <w:rPr>
          <w:rFonts w:ascii="Arial" w:hAnsi="Arial" w:cs="Arial"/>
          <w:b/>
          <w:bCs/>
          <w:color w:val="0070C0"/>
          <w:sz w:val="22"/>
          <w:szCs w:val="22"/>
        </w:rPr>
        <w:t xml:space="preserve">4.1. </w:t>
      </w:r>
      <w:bookmarkStart w:id="30" w:name="_Hlk117508496"/>
      <w:r w:rsidRPr="001E040F">
        <w:rPr>
          <w:rFonts w:ascii="Arial" w:hAnsi="Arial" w:cs="Arial"/>
          <w:b/>
          <w:bCs/>
          <w:color w:val="0070C0"/>
          <w:sz w:val="22"/>
          <w:szCs w:val="22"/>
        </w:rPr>
        <w:t>Basic Income Grant (BIG)</w:t>
      </w:r>
      <w:bookmarkEnd w:id="29"/>
      <w:bookmarkEnd w:id="30"/>
    </w:p>
    <w:p w14:paraId="5EBE3CE4" w14:textId="77777777" w:rsidR="004168D5" w:rsidRPr="009303C1" w:rsidRDefault="004168D5" w:rsidP="004168D5">
      <w:pPr>
        <w:spacing w:after="0" w:line="276" w:lineRule="auto"/>
        <w:jc w:val="both"/>
        <w:rPr>
          <w:rFonts w:ascii="Arial" w:hAnsi="Arial" w:cs="Arial"/>
          <w:lang w:val="en-GB"/>
        </w:rPr>
      </w:pPr>
    </w:p>
    <w:p w14:paraId="4332F070" w14:textId="77777777" w:rsidR="004168D5" w:rsidRPr="009303C1" w:rsidRDefault="004168D5" w:rsidP="004168D5">
      <w:pPr>
        <w:spacing w:after="0" w:line="276" w:lineRule="auto"/>
        <w:jc w:val="both"/>
        <w:rPr>
          <w:rFonts w:ascii="Arial" w:hAnsi="Arial" w:cs="Arial"/>
          <w:lang w:val="en-GB"/>
        </w:rPr>
      </w:pPr>
      <w:bookmarkStart w:id="31" w:name="_Hlk117508516"/>
      <w:r w:rsidRPr="009303C1">
        <w:rPr>
          <w:rFonts w:ascii="Arial" w:hAnsi="Arial" w:cs="Arial"/>
          <w:lang w:val="en-GB"/>
        </w:rPr>
        <w:t>The DA is strongly in favour of providing conditional direct income support for the most vulnerable in our society</w:t>
      </w:r>
      <w:bookmarkEnd w:id="31"/>
      <w:r w:rsidRPr="009303C1">
        <w:rPr>
          <w:rFonts w:ascii="Arial" w:hAnsi="Arial" w:cs="Arial"/>
          <w:lang w:val="en-GB"/>
        </w:rPr>
        <w:t xml:space="preserve"> as it provides an economic floor and channels funds into the hands of consumers who are best placed to decide where to spend it. This makes for a more efficient distribution of resources relative to a coupon or the current grant system as the market makes better allocative decisions than the government. Given the current economic climate (low economic growth and a shrinking tax base), the DA is concerned that the country cannot afford to expand social transfers by funding a BIG to a growing number of state dependents indefinitely without first meeting the necessary growth requirements.</w:t>
      </w:r>
    </w:p>
    <w:p w14:paraId="143ECAF6" w14:textId="77777777" w:rsidR="004168D5" w:rsidRPr="009303C1" w:rsidRDefault="004168D5" w:rsidP="004168D5">
      <w:pPr>
        <w:spacing w:after="0" w:line="276" w:lineRule="auto"/>
        <w:jc w:val="both"/>
        <w:rPr>
          <w:rFonts w:ascii="Arial" w:hAnsi="Arial" w:cs="Arial"/>
          <w:lang w:val="en-GB"/>
        </w:rPr>
      </w:pPr>
    </w:p>
    <w:p w14:paraId="47FD03C7" w14:textId="77777777"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t xml:space="preserve">In this regard, </w:t>
      </w:r>
      <w:bookmarkStart w:id="32" w:name="_Hlk117508542"/>
      <w:r w:rsidRPr="009303C1">
        <w:rPr>
          <w:rFonts w:ascii="Arial" w:hAnsi="Arial" w:cs="Arial"/>
          <w:lang w:val="en-GB"/>
        </w:rPr>
        <w:t xml:space="preserve">it is only when the government actually does accrue the necessary savings, achieve a budget surplus, implement the requisite policies that would spur economic growth, and is able to substantially reduce debt could a BIG grant be tabled for serious consideration.  </w:t>
      </w:r>
    </w:p>
    <w:p w14:paraId="5086BCEA"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5C0A2BC2" w14:textId="5247AC0D"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lastRenderedPageBreak/>
        <w:t>If a BIG is not funded by growth the large immediate expansion of social transfers would threaten fiscal sustainability and lead to significant employment losses by actually  decreasing economic activity and growth</w:t>
      </w:r>
      <w:bookmarkEnd w:id="32"/>
      <w:r w:rsidR="001677AD" w:rsidRPr="009303C1">
        <w:rPr>
          <w:rStyle w:val="FootnoteReference"/>
          <w:rFonts w:ascii="Arial" w:hAnsi="Arial" w:cs="Arial"/>
          <w:lang w:val="en-GB"/>
        </w:rPr>
        <w:footnoteReference w:id="7"/>
      </w:r>
      <w:r w:rsidR="001677AD" w:rsidRPr="009303C1">
        <w:rPr>
          <w:rFonts w:ascii="Arial" w:hAnsi="Arial" w:cs="Arial"/>
          <w:lang w:val="en-GB"/>
        </w:rPr>
        <w:t>.</w:t>
      </w:r>
    </w:p>
    <w:p w14:paraId="0D3D87A6"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0C899A70" w14:textId="77777777"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t xml:space="preserve">South Africa’s debt position plays a crucial role in this assessment: </w:t>
      </w:r>
    </w:p>
    <w:p w14:paraId="15F677D5" w14:textId="77777777" w:rsidR="004168D5" w:rsidRPr="009303C1" w:rsidRDefault="004168D5" w:rsidP="004168D5">
      <w:pPr>
        <w:spacing w:after="0" w:line="276" w:lineRule="auto"/>
        <w:jc w:val="both"/>
        <w:rPr>
          <w:rFonts w:ascii="Arial" w:hAnsi="Arial" w:cs="Arial"/>
          <w:lang w:val="en-GB"/>
        </w:rPr>
      </w:pPr>
    </w:p>
    <w:p w14:paraId="2B5FE240" w14:textId="77777777" w:rsidR="004168D5" w:rsidRPr="009303C1" w:rsidRDefault="004168D5" w:rsidP="004168D5">
      <w:pPr>
        <w:pStyle w:val="ListParagraph"/>
        <w:numPr>
          <w:ilvl w:val="0"/>
          <w:numId w:val="29"/>
        </w:numPr>
        <w:spacing w:after="0" w:line="276" w:lineRule="auto"/>
        <w:jc w:val="both"/>
        <w:rPr>
          <w:rFonts w:ascii="Arial" w:hAnsi="Arial" w:cs="Arial"/>
          <w:lang w:val="en-GB"/>
        </w:rPr>
      </w:pPr>
      <w:r w:rsidRPr="009303C1">
        <w:rPr>
          <w:rFonts w:ascii="Arial" w:hAnsi="Arial" w:cs="Arial"/>
          <w:lang w:val="en-GB"/>
        </w:rPr>
        <w:t xml:space="preserve">Without fiscal space for expansionary policies alongside a shrinking tax base, any stimulus is impotent. </w:t>
      </w:r>
    </w:p>
    <w:p w14:paraId="187769C0" w14:textId="77777777" w:rsidR="004168D5" w:rsidRPr="009303C1" w:rsidRDefault="004168D5" w:rsidP="004168D5">
      <w:pPr>
        <w:pStyle w:val="ListParagraph"/>
        <w:numPr>
          <w:ilvl w:val="0"/>
          <w:numId w:val="29"/>
        </w:numPr>
        <w:spacing w:after="0" w:line="276" w:lineRule="auto"/>
        <w:jc w:val="both"/>
        <w:rPr>
          <w:rFonts w:ascii="Arial" w:hAnsi="Arial" w:cs="Arial"/>
          <w:lang w:val="en-GB"/>
        </w:rPr>
      </w:pPr>
      <w:r w:rsidRPr="009303C1">
        <w:rPr>
          <w:rFonts w:ascii="Arial" w:hAnsi="Arial" w:cs="Arial"/>
          <w:lang w:val="en-GB"/>
        </w:rPr>
        <w:t xml:space="preserve">If the BIG is predominantly debt-financed, the deteriorating fiscal position causes the risk premium on sovereign debt to rise and weigh on investment and growth. </w:t>
      </w:r>
    </w:p>
    <w:p w14:paraId="38209C94" w14:textId="77777777" w:rsidR="004168D5" w:rsidRPr="009303C1" w:rsidRDefault="004168D5" w:rsidP="004168D5">
      <w:pPr>
        <w:pStyle w:val="ListParagraph"/>
        <w:numPr>
          <w:ilvl w:val="0"/>
          <w:numId w:val="29"/>
        </w:numPr>
        <w:spacing w:after="0" w:line="276" w:lineRule="auto"/>
        <w:jc w:val="both"/>
        <w:rPr>
          <w:rFonts w:ascii="Arial" w:hAnsi="Arial" w:cs="Arial"/>
          <w:lang w:val="en-GB"/>
        </w:rPr>
      </w:pPr>
      <w:r w:rsidRPr="009303C1">
        <w:rPr>
          <w:rFonts w:ascii="Arial" w:hAnsi="Arial" w:cs="Arial"/>
          <w:lang w:val="en-GB"/>
        </w:rPr>
        <w:t xml:space="preserve">If the BIG is predominantly tax financed, significant crowding-out of private expenditure occurs and the risk of mass wealth emigration increases significantly. </w:t>
      </w:r>
    </w:p>
    <w:p w14:paraId="5623AB96" w14:textId="77777777" w:rsidR="004168D5" w:rsidRPr="009303C1" w:rsidRDefault="004168D5" w:rsidP="004168D5">
      <w:pPr>
        <w:pStyle w:val="ListParagraph"/>
        <w:numPr>
          <w:ilvl w:val="0"/>
          <w:numId w:val="29"/>
        </w:numPr>
        <w:spacing w:after="0" w:line="276" w:lineRule="auto"/>
        <w:jc w:val="both"/>
        <w:rPr>
          <w:rFonts w:ascii="Arial" w:hAnsi="Arial" w:cs="Arial"/>
          <w:shd w:val="clear" w:color="auto" w:fill="FFFFFF"/>
          <w:lang w:val="en-GB"/>
        </w:rPr>
      </w:pPr>
      <w:r w:rsidRPr="009303C1">
        <w:rPr>
          <w:rFonts w:ascii="Arial" w:hAnsi="Arial" w:cs="Arial"/>
          <w:lang w:val="en-GB"/>
        </w:rPr>
        <w:t>If the BIG is predominantly financed through government expenditure re-prioritisation, the provision of other important public services will be meaningfully hampered.</w:t>
      </w:r>
      <w:r w:rsidRPr="009303C1">
        <w:rPr>
          <w:rFonts w:ascii="Arial" w:hAnsi="Arial" w:cs="Arial"/>
          <w:lang w:val="en-GB"/>
        </w:rPr>
        <w:tab/>
        <w:t xml:space="preserve"> </w:t>
      </w:r>
    </w:p>
    <w:p w14:paraId="317A80D2" w14:textId="77777777" w:rsidR="004168D5" w:rsidRPr="009303C1" w:rsidRDefault="004168D5" w:rsidP="004168D5">
      <w:pPr>
        <w:spacing w:after="0" w:line="276" w:lineRule="auto"/>
        <w:jc w:val="both"/>
        <w:rPr>
          <w:rFonts w:ascii="Arial" w:hAnsi="Arial" w:cs="Arial"/>
          <w:shd w:val="clear" w:color="auto" w:fill="FFFFFF"/>
          <w:lang w:val="en-GB"/>
        </w:rPr>
      </w:pPr>
    </w:p>
    <w:p w14:paraId="43ACBE46" w14:textId="77777777"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t>The negative economic effects of expanding social welfare through any of these channels would outweigh the positive effects – the medicine cannot be worse than the disease.</w:t>
      </w:r>
    </w:p>
    <w:p w14:paraId="550C4FEE" w14:textId="77777777" w:rsidR="004168D5" w:rsidRPr="009303C1" w:rsidRDefault="004168D5" w:rsidP="004168D5">
      <w:pPr>
        <w:spacing w:after="0" w:line="276" w:lineRule="auto"/>
        <w:jc w:val="both"/>
        <w:rPr>
          <w:rFonts w:ascii="Arial" w:hAnsi="Arial" w:cs="Arial"/>
          <w:lang w:val="en-GB"/>
        </w:rPr>
      </w:pPr>
    </w:p>
    <w:p w14:paraId="546348C2" w14:textId="77777777"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t>Considering the negative implications for fiscal sustainability and a severely constrained fiscal position, funding a BIG is only feasible if economic growth rises substantially and sustainably; it bears reiterating that this is feasible should the DA’s market-oriented policy framework be adopted and implemented which necessitates increased government infrastructure investment, expansion of employment programmes and, critically, growth-enhancing economic reforms that leverage the private sector.</w:t>
      </w:r>
    </w:p>
    <w:p w14:paraId="7FEB1882" w14:textId="77777777" w:rsidR="004168D5" w:rsidRPr="009303C1" w:rsidRDefault="004168D5" w:rsidP="004168D5">
      <w:pPr>
        <w:spacing w:after="0" w:line="276" w:lineRule="auto"/>
        <w:jc w:val="both"/>
        <w:rPr>
          <w:rStyle w:val="CommentReference"/>
          <w:rFonts w:ascii="Arial" w:hAnsi="Arial" w:cs="Arial"/>
          <w:lang w:val="en-GB"/>
        </w:rPr>
      </w:pPr>
    </w:p>
    <w:p w14:paraId="791831DA" w14:textId="1B8952ED" w:rsidR="004168D5" w:rsidRPr="009303C1" w:rsidRDefault="002C5AD8" w:rsidP="004168D5">
      <w:pPr>
        <w:spacing w:after="0" w:line="276" w:lineRule="auto"/>
        <w:jc w:val="both"/>
        <w:rPr>
          <w:rFonts w:ascii="Arial" w:hAnsi="Arial" w:cs="Arial"/>
          <w:lang w:val="en-GB"/>
        </w:rPr>
      </w:pPr>
      <w:bookmarkStart w:id="33" w:name="_Hlk117508562"/>
      <w:r w:rsidRPr="009303C1">
        <w:rPr>
          <w:rFonts w:ascii="Arial" w:hAnsi="Arial" w:cs="Arial"/>
          <w:lang w:val="en-GB"/>
        </w:rPr>
        <w:t xml:space="preserve">The </w:t>
      </w:r>
      <w:r w:rsidR="004168D5" w:rsidRPr="009303C1">
        <w:rPr>
          <w:rFonts w:ascii="Arial" w:hAnsi="Arial" w:cs="Arial"/>
          <w:lang w:val="en-GB"/>
        </w:rPr>
        <w:t>DA can budget for the introduction of a conditional Universal Basic Income Grant at R585 per month for adults</w:t>
      </w:r>
      <w:r w:rsidR="001677AD" w:rsidRPr="009303C1">
        <w:rPr>
          <w:rFonts w:ascii="Arial" w:hAnsi="Arial" w:cs="Arial"/>
          <w:lang w:val="en-GB"/>
        </w:rPr>
        <w:t xml:space="preserve"> </w:t>
      </w:r>
      <w:r w:rsidR="00D272ED" w:rsidRPr="009303C1">
        <w:rPr>
          <w:rFonts w:ascii="Arial" w:hAnsi="Arial" w:cs="Arial"/>
          <w:lang w:val="en-GB"/>
        </w:rPr>
        <w:t>between the ages of 19 and 59</w:t>
      </w:r>
      <w:r w:rsidR="004168D5" w:rsidRPr="009303C1">
        <w:rPr>
          <w:rFonts w:ascii="Arial" w:hAnsi="Arial" w:cs="Arial"/>
          <w:lang w:val="en-GB"/>
        </w:rPr>
        <w:t xml:space="preserve"> of which the cost is estimated as R</w:t>
      </w:r>
      <w:r w:rsidR="00D272ED" w:rsidRPr="009303C1">
        <w:rPr>
          <w:rFonts w:ascii="Arial" w:hAnsi="Arial" w:cs="Arial"/>
          <w:lang w:val="en-GB"/>
        </w:rPr>
        <w:t>232</w:t>
      </w:r>
      <w:r w:rsidR="004168D5" w:rsidRPr="009303C1">
        <w:rPr>
          <w:rFonts w:ascii="Arial" w:hAnsi="Arial" w:cs="Arial"/>
          <w:lang w:val="en-GB"/>
        </w:rPr>
        <w:t xml:space="preserve"> billion per year</w:t>
      </w:r>
      <w:r w:rsidR="001677AD" w:rsidRPr="009303C1">
        <w:rPr>
          <w:rStyle w:val="FootnoteReference"/>
          <w:rFonts w:ascii="Arial" w:hAnsi="Arial" w:cs="Arial"/>
          <w:lang w:val="en-GB"/>
        </w:rPr>
        <w:footnoteReference w:id="8"/>
      </w:r>
      <w:r w:rsidR="004168D5" w:rsidRPr="009303C1">
        <w:rPr>
          <w:rFonts w:ascii="Arial" w:hAnsi="Arial" w:cs="Arial"/>
          <w:lang w:val="en-GB"/>
        </w:rPr>
        <w:t>. The grant would be made available on the understanding that it would only be provided when revenue generated from GDP growth is available, as would be the case given the implementation of the DA’s policy framework.</w:t>
      </w:r>
    </w:p>
    <w:bookmarkEnd w:id="33"/>
    <w:p w14:paraId="303D7780" w14:textId="77777777" w:rsidR="004168D5" w:rsidRPr="009303C1" w:rsidRDefault="004168D5" w:rsidP="004168D5">
      <w:pPr>
        <w:spacing w:after="0" w:line="276" w:lineRule="auto"/>
        <w:jc w:val="both"/>
        <w:rPr>
          <w:rFonts w:ascii="Arial" w:hAnsi="Arial" w:cs="Arial"/>
          <w:b/>
          <w:bCs/>
          <w:lang w:val="en-GB"/>
        </w:rPr>
      </w:pPr>
    </w:p>
    <w:p w14:paraId="411E345B" w14:textId="77777777" w:rsidR="004168D5" w:rsidRPr="009303C1" w:rsidRDefault="004168D5" w:rsidP="004168D5">
      <w:pPr>
        <w:spacing w:after="0" w:line="276" w:lineRule="auto"/>
        <w:jc w:val="both"/>
        <w:rPr>
          <w:rFonts w:ascii="Arial" w:hAnsi="Arial" w:cs="Arial"/>
          <w:b/>
          <w:bCs/>
          <w:lang w:val="en-GB"/>
        </w:rPr>
      </w:pPr>
    </w:p>
    <w:p w14:paraId="3ECB4C25" w14:textId="35F3AD27" w:rsidR="004168D5" w:rsidRPr="001E040F" w:rsidRDefault="004168D5" w:rsidP="004168D5">
      <w:pPr>
        <w:pStyle w:val="Heading2"/>
        <w:spacing w:before="0" w:line="276" w:lineRule="auto"/>
        <w:jc w:val="both"/>
        <w:rPr>
          <w:rFonts w:ascii="Arial" w:hAnsi="Arial" w:cs="Arial"/>
          <w:b/>
          <w:bCs/>
          <w:color w:val="0070C0"/>
          <w:sz w:val="22"/>
          <w:szCs w:val="22"/>
        </w:rPr>
      </w:pPr>
      <w:bookmarkStart w:id="34" w:name="_Toc116638094"/>
      <w:r w:rsidRPr="001E040F">
        <w:rPr>
          <w:rFonts w:ascii="Arial" w:hAnsi="Arial" w:cs="Arial"/>
          <w:b/>
          <w:bCs/>
          <w:color w:val="0070C0"/>
          <w:sz w:val="22"/>
          <w:szCs w:val="22"/>
        </w:rPr>
        <w:t xml:space="preserve">4.2. </w:t>
      </w:r>
      <w:bookmarkStart w:id="35" w:name="_Hlk117508665"/>
      <w:r w:rsidRPr="001E040F">
        <w:rPr>
          <w:rFonts w:ascii="Arial" w:hAnsi="Arial" w:cs="Arial"/>
          <w:b/>
          <w:bCs/>
          <w:color w:val="0070C0"/>
          <w:sz w:val="22"/>
          <w:szCs w:val="22"/>
        </w:rPr>
        <w:t>Small-, Medium-, and Micro Enterprises (SMME) support</w:t>
      </w:r>
      <w:bookmarkEnd w:id="34"/>
      <w:r w:rsidRPr="001E040F">
        <w:rPr>
          <w:rFonts w:ascii="Arial" w:hAnsi="Arial" w:cs="Arial"/>
          <w:b/>
          <w:bCs/>
          <w:color w:val="0070C0"/>
          <w:sz w:val="22"/>
          <w:szCs w:val="22"/>
        </w:rPr>
        <w:t xml:space="preserve"> </w:t>
      </w:r>
      <w:bookmarkEnd w:id="35"/>
    </w:p>
    <w:p w14:paraId="1834ED0D"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07D907EE" w14:textId="181AD957" w:rsidR="004168D5" w:rsidRPr="009303C1" w:rsidRDefault="004168D5" w:rsidP="004168D5">
      <w:pPr>
        <w:autoSpaceDE w:val="0"/>
        <w:autoSpaceDN w:val="0"/>
        <w:adjustRightInd w:val="0"/>
        <w:spacing w:after="0" w:line="276" w:lineRule="auto"/>
        <w:jc w:val="both"/>
        <w:rPr>
          <w:rFonts w:ascii="Arial" w:hAnsi="Arial" w:cs="Arial"/>
          <w:lang w:val="en-GB"/>
        </w:rPr>
      </w:pPr>
      <w:r w:rsidRPr="009303C1">
        <w:rPr>
          <w:rFonts w:ascii="Arial" w:hAnsi="Arial" w:cs="Arial"/>
          <w:lang w:val="en-GB"/>
        </w:rPr>
        <w:t>SMMEs are considered the backbone of any developed or developing economy as they drive growth, provide employment opportunities and open new markets. In this process they also create groups of skilled and semi-skilled workers who support industrial and business expansion in the country, which is particularly relevant for the South African economy. The growth of the SMME sector is therefore vital for the survival of our economy. From local spaza shops to small tech firms, the majority of businesses in South Africa operate in the sector; in March 2022, the OECD identified 2.6 million operating SMME’s throughout all industries in the economy.</w:t>
      </w:r>
    </w:p>
    <w:p w14:paraId="2C11EB43" w14:textId="77777777" w:rsidR="004168D5" w:rsidRPr="009303C1" w:rsidRDefault="004168D5" w:rsidP="004168D5">
      <w:pPr>
        <w:autoSpaceDE w:val="0"/>
        <w:autoSpaceDN w:val="0"/>
        <w:adjustRightInd w:val="0"/>
        <w:spacing w:after="0" w:line="276" w:lineRule="auto"/>
        <w:jc w:val="both"/>
        <w:rPr>
          <w:rFonts w:ascii="Arial" w:hAnsi="Arial" w:cs="Arial"/>
          <w:lang w:val="en-GB"/>
        </w:rPr>
      </w:pPr>
      <w:bookmarkStart w:id="36" w:name="_Hlk117508640"/>
      <w:r w:rsidRPr="009303C1">
        <w:rPr>
          <w:rFonts w:ascii="Arial" w:hAnsi="Arial" w:cs="Arial"/>
          <w:lang w:val="en-GB"/>
        </w:rPr>
        <w:lastRenderedPageBreak/>
        <w:t>If the government seeks to alleviate poverty and inequality, the best steps to take are in the direction of reducing the cost of living and creating conditions that are favourable to plentiful employment. This is particularly relevant for SMME’s as the sector generates 36% of South Africa’s total output and employs up to 60% of the country’s workers.</w:t>
      </w:r>
    </w:p>
    <w:bookmarkEnd w:id="36"/>
    <w:p w14:paraId="467B2CDA"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7E7473EB" w14:textId="06753F95" w:rsidR="004168D5" w:rsidRPr="009303C1" w:rsidRDefault="004168D5" w:rsidP="004168D5">
      <w:pPr>
        <w:autoSpaceDE w:val="0"/>
        <w:autoSpaceDN w:val="0"/>
        <w:adjustRightInd w:val="0"/>
        <w:spacing w:after="0" w:line="276" w:lineRule="auto"/>
        <w:jc w:val="both"/>
        <w:rPr>
          <w:rFonts w:ascii="Arial" w:hAnsi="Arial" w:cs="Arial"/>
          <w:lang w:val="en-GB"/>
        </w:rPr>
      </w:pPr>
      <w:r w:rsidRPr="009303C1">
        <w:rPr>
          <w:rFonts w:ascii="Arial" w:hAnsi="Arial" w:cs="Arial"/>
          <w:lang w:val="en-GB"/>
        </w:rPr>
        <w:t xml:space="preserve">For work and output in the SMME sector to be abundant the following basic requirements </w:t>
      </w:r>
      <w:r w:rsidR="00D333FB" w:rsidRPr="009303C1">
        <w:rPr>
          <w:rFonts w:ascii="Arial" w:hAnsi="Arial" w:cs="Arial"/>
          <w:lang w:val="en-GB"/>
        </w:rPr>
        <w:t xml:space="preserve">are </w:t>
      </w:r>
      <w:r w:rsidRPr="009303C1">
        <w:rPr>
          <w:rFonts w:ascii="Arial" w:hAnsi="Arial" w:cs="Arial"/>
          <w:lang w:val="en-GB"/>
        </w:rPr>
        <w:t>to be met:</w:t>
      </w:r>
    </w:p>
    <w:p w14:paraId="548FFE93"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33261F26" w14:textId="77777777" w:rsidR="004168D5" w:rsidRPr="009303C1" w:rsidRDefault="004168D5" w:rsidP="004168D5">
      <w:pPr>
        <w:numPr>
          <w:ilvl w:val="0"/>
          <w:numId w:val="17"/>
        </w:numPr>
        <w:autoSpaceDE w:val="0"/>
        <w:autoSpaceDN w:val="0"/>
        <w:adjustRightInd w:val="0"/>
        <w:spacing w:after="0" w:line="276" w:lineRule="auto"/>
        <w:jc w:val="both"/>
        <w:rPr>
          <w:rFonts w:ascii="Arial" w:hAnsi="Arial" w:cs="Arial"/>
          <w:lang w:val="en-GB"/>
        </w:rPr>
      </w:pPr>
      <w:r w:rsidRPr="009303C1">
        <w:rPr>
          <w:rFonts w:ascii="Arial" w:hAnsi="Arial" w:cs="Arial"/>
          <w:lang w:val="en-GB"/>
        </w:rPr>
        <w:t>It must be easy to start a business.</w:t>
      </w:r>
    </w:p>
    <w:p w14:paraId="5885D529" w14:textId="77777777" w:rsidR="004168D5" w:rsidRPr="009303C1" w:rsidRDefault="004168D5" w:rsidP="004168D5">
      <w:pPr>
        <w:numPr>
          <w:ilvl w:val="0"/>
          <w:numId w:val="17"/>
        </w:numPr>
        <w:autoSpaceDE w:val="0"/>
        <w:autoSpaceDN w:val="0"/>
        <w:adjustRightInd w:val="0"/>
        <w:spacing w:after="0" w:line="276" w:lineRule="auto"/>
        <w:jc w:val="both"/>
        <w:rPr>
          <w:rFonts w:ascii="Arial" w:hAnsi="Arial" w:cs="Arial"/>
          <w:lang w:val="en-GB"/>
        </w:rPr>
      </w:pPr>
      <w:r w:rsidRPr="009303C1">
        <w:rPr>
          <w:rFonts w:ascii="Arial" w:hAnsi="Arial" w:cs="Arial"/>
          <w:lang w:val="en-GB"/>
        </w:rPr>
        <w:t>It must be easy to operate the new business.</w:t>
      </w:r>
    </w:p>
    <w:p w14:paraId="214F765D" w14:textId="77777777" w:rsidR="004168D5" w:rsidRPr="009303C1" w:rsidRDefault="004168D5" w:rsidP="004168D5">
      <w:pPr>
        <w:numPr>
          <w:ilvl w:val="0"/>
          <w:numId w:val="17"/>
        </w:numPr>
        <w:autoSpaceDE w:val="0"/>
        <w:autoSpaceDN w:val="0"/>
        <w:adjustRightInd w:val="0"/>
        <w:spacing w:after="0" w:line="276" w:lineRule="auto"/>
        <w:jc w:val="both"/>
        <w:rPr>
          <w:rFonts w:ascii="Arial" w:hAnsi="Arial" w:cs="Arial"/>
          <w:lang w:val="en-GB"/>
        </w:rPr>
      </w:pPr>
      <w:r w:rsidRPr="009303C1">
        <w:rPr>
          <w:rFonts w:ascii="Arial" w:hAnsi="Arial" w:cs="Arial"/>
          <w:lang w:val="en-GB"/>
        </w:rPr>
        <w:t>It must be easy to make a profit so the business can survive the first few years and,</w:t>
      </w:r>
    </w:p>
    <w:p w14:paraId="007C99EB" w14:textId="77777777" w:rsidR="004168D5" w:rsidRPr="009303C1" w:rsidRDefault="004168D5" w:rsidP="004168D5">
      <w:pPr>
        <w:numPr>
          <w:ilvl w:val="0"/>
          <w:numId w:val="17"/>
        </w:numPr>
        <w:autoSpaceDE w:val="0"/>
        <w:autoSpaceDN w:val="0"/>
        <w:adjustRightInd w:val="0"/>
        <w:spacing w:after="0" w:line="276" w:lineRule="auto"/>
        <w:jc w:val="both"/>
        <w:rPr>
          <w:rFonts w:ascii="Arial" w:hAnsi="Arial" w:cs="Arial"/>
          <w:lang w:val="en-GB"/>
        </w:rPr>
      </w:pPr>
      <w:r w:rsidRPr="009303C1">
        <w:rPr>
          <w:rFonts w:ascii="Arial" w:hAnsi="Arial" w:cs="Arial"/>
          <w:lang w:val="en-GB"/>
        </w:rPr>
        <w:t>It must be easy to hire employees.</w:t>
      </w:r>
    </w:p>
    <w:p w14:paraId="47296E77"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1B7F9783" w14:textId="77777777" w:rsidR="004168D5" w:rsidRPr="009303C1" w:rsidRDefault="004168D5" w:rsidP="004168D5">
      <w:pPr>
        <w:autoSpaceDE w:val="0"/>
        <w:autoSpaceDN w:val="0"/>
        <w:adjustRightInd w:val="0"/>
        <w:spacing w:after="0" w:line="276" w:lineRule="auto"/>
        <w:jc w:val="both"/>
        <w:rPr>
          <w:rFonts w:ascii="Arial" w:hAnsi="Arial" w:cs="Arial"/>
          <w:lang w:val="en-GB"/>
        </w:rPr>
      </w:pPr>
      <w:bookmarkStart w:id="37" w:name="_Hlk117508659"/>
      <w:r w:rsidRPr="009303C1">
        <w:rPr>
          <w:rFonts w:ascii="Arial" w:hAnsi="Arial" w:cs="Arial"/>
          <w:lang w:val="en-GB"/>
        </w:rPr>
        <w:t>These factors require an environment of low-cost compliance with regulations, low tax rates, low costs of transactions, reasonable transport costs, reasonable cost of, reasonable availability of capital for small enterprises, local and national governments that actively seek to smooth the path of new enterprises and existing enterprises seeking to expand, and a transparent marketplace that isn't dominated by politically dominant cartels and subservient-to-cartels government agencies.</w:t>
      </w:r>
    </w:p>
    <w:bookmarkEnd w:id="37"/>
    <w:p w14:paraId="08E43816"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36486003" w14:textId="77777777" w:rsidR="004168D5" w:rsidRPr="009303C1" w:rsidRDefault="004168D5" w:rsidP="004168D5">
      <w:pPr>
        <w:autoSpaceDE w:val="0"/>
        <w:autoSpaceDN w:val="0"/>
        <w:adjustRightInd w:val="0"/>
        <w:spacing w:after="0" w:line="276" w:lineRule="auto"/>
        <w:jc w:val="both"/>
        <w:rPr>
          <w:rFonts w:ascii="Arial" w:hAnsi="Arial" w:cs="Arial"/>
          <w:lang w:val="en-GB"/>
        </w:rPr>
      </w:pPr>
      <w:r w:rsidRPr="009303C1">
        <w:rPr>
          <w:rFonts w:ascii="Arial" w:hAnsi="Arial" w:cs="Arial"/>
          <w:lang w:val="en-GB"/>
        </w:rPr>
        <w:t>However, the South African SMME sector has been struggling for some time to fully unlock its potential, there is an urgent need to lessen the regulatory hurdles that stand in their way. More detailed proposals will be included in our Alternative Budget in February 2023.</w:t>
      </w:r>
    </w:p>
    <w:p w14:paraId="11981987"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1317F9A2" w14:textId="0118BED7" w:rsidR="004168D5" w:rsidRPr="009303C1" w:rsidRDefault="004168D5" w:rsidP="004168D5">
      <w:pPr>
        <w:autoSpaceDE w:val="0"/>
        <w:autoSpaceDN w:val="0"/>
        <w:adjustRightInd w:val="0"/>
        <w:spacing w:after="0" w:line="276" w:lineRule="auto"/>
        <w:jc w:val="both"/>
        <w:rPr>
          <w:rFonts w:ascii="Arial" w:hAnsi="Arial" w:cs="Arial"/>
          <w:b/>
          <w:bCs/>
          <w:u w:val="single"/>
          <w:lang w:val="en-GB"/>
        </w:rPr>
      </w:pPr>
      <w:r w:rsidRPr="009303C1">
        <w:rPr>
          <w:rFonts w:ascii="Arial" w:hAnsi="Arial" w:cs="Arial"/>
          <w:lang w:val="en-GB"/>
        </w:rPr>
        <w:t>In this regard, the DA will in the coming months</w:t>
      </w:r>
      <w:r w:rsidRPr="009303C1">
        <w:rPr>
          <w:rFonts w:ascii="Arial" w:hAnsi="Arial" w:cs="Arial"/>
          <w:b/>
          <w:bCs/>
          <w:u w:val="single"/>
          <w:lang w:val="en-GB"/>
        </w:rPr>
        <w:t xml:space="preserve"> introduce a Private Member’s Bill that will enable the SMME sector, in particular high potential growth start-ups, to seamlessly serve as the engines of economic growth in South Africa.  </w:t>
      </w:r>
    </w:p>
    <w:p w14:paraId="19D06810"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6B34E7BB" w14:textId="77777777" w:rsidR="004168D5" w:rsidRPr="009303C1" w:rsidRDefault="004168D5" w:rsidP="004168D5">
      <w:pPr>
        <w:autoSpaceDE w:val="0"/>
        <w:autoSpaceDN w:val="0"/>
        <w:adjustRightInd w:val="0"/>
        <w:spacing w:after="0" w:line="276" w:lineRule="auto"/>
        <w:jc w:val="both"/>
        <w:rPr>
          <w:rFonts w:ascii="Arial" w:hAnsi="Arial" w:cs="Arial"/>
          <w:lang w:val="en-GB"/>
        </w:rPr>
      </w:pPr>
      <w:r w:rsidRPr="009303C1">
        <w:rPr>
          <w:rFonts w:ascii="Arial" w:hAnsi="Arial" w:cs="Arial"/>
          <w:lang w:val="en-GB"/>
        </w:rPr>
        <w:t>The tax regime for small firms needs to be addressed to accelerate their growth. We will make specific proposals in our Alternative Budget in February 2023. These in addition to the proposals we made in February 2022 to empower SMME companies.</w:t>
      </w:r>
    </w:p>
    <w:p w14:paraId="67AADA6E" w14:textId="77777777" w:rsidR="004168D5" w:rsidRPr="009303C1" w:rsidRDefault="004168D5" w:rsidP="004168D5">
      <w:pPr>
        <w:autoSpaceDE w:val="0"/>
        <w:autoSpaceDN w:val="0"/>
        <w:adjustRightInd w:val="0"/>
        <w:spacing w:after="0" w:line="276" w:lineRule="auto"/>
        <w:jc w:val="both"/>
        <w:rPr>
          <w:rFonts w:ascii="Arial" w:hAnsi="Arial" w:cs="Arial"/>
          <w:b/>
          <w:bCs/>
          <w:u w:val="single"/>
          <w:lang w:val="en-GB"/>
        </w:rPr>
      </w:pPr>
    </w:p>
    <w:p w14:paraId="208AA493" w14:textId="77777777" w:rsidR="004168D5" w:rsidRPr="009303C1" w:rsidRDefault="004168D5" w:rsidP="004168D5">
      <w:pPr>
        <w:autoSpaceDE w:val="0"/>
        <w:autoSpaceDN w:val="0"/>
        <w:adjustRightInd w:val="0"/>
        <w:spacing w:after="0" w:line="276" w:lineRule="auto"/>
        <w:jc w:val="both"/>
        <w:rPr>
          <w:rFonts w:ascii="Arial" w:hAnsi="Arial" w:cs="Arial"/>
          <w:b/>
          <w:bCs/>
          <w:u w:val="single"/>
          <w:lang w:val="en-GB"/>
        </w:rPr>
      </w:pPr>
    </w:p>
    <w:p w14:paraId="01D8637D" w14:textId="5332056D" w:rsidR="004168D5" w:rsidRPr="001E040F" w:rsidRDefault="004168D5" w:rsidP="004168D5">
      <w:pPr>
        <w:pStyle w:val="Heading1"/>
        <w:numPr>
          <w:ilvl w:val="0"/>
          <w:numId w:val="30"/>
        </w:numPr>
        <w:spacing w:before="0" w:line="276" w:lineRule="auto"/>
        <w:jc w:val="both"/>
        <w:rPr>
          <w:rFonts w:ascii="Arial" w:hAnsi="Arial" w:cs="Arial"/>
          <w:b/>
          <w:bCs/>
          <w:color w:val="0070C0"/>
          <w:sz w:val="22"/>
          <w:szCs w:val="22"/>
          <w:u w:val="single"/>
        </w:rPr>
      </w:pPr>
      <w:bookmarkStart w:id="38" w:name="_Toc116638095"/>
      <w:bookmarkStart w:id="39" w:name="_Hlk117508684"/>
      <w:r w:rsidRPr="001E040F">
        <w:rPr>
          <w:rFonts w:ascii="Arial" w:hAnsi="Arial" w:cs="Arial"/>
          <w:b/>
          <w:bCs/>
          <w:color w:val="0070C0"/>
          <w:sz w:val="22"/>
          <w:szCs w:val="22"/>
          <w:u w:val="single"/>
        </w:rPr>
        <w:t>No Increases in Taxes</w:t>
      </w:r>
      <w:bookmarkEnd w:id="38"/>
    </w:p>
    <w:bookmarkEnd w:id="39"/>
    <w:p w14:paraId="656D5BD8"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2F695878" w14:textId="77777777" w:rsidR="004168D5" w:rsidRPr="009303C1" w:rsidRDefault="004168D5" w:rsidP="004168D5">
      <w:pPr>
        <w:autoSpaceDE w:val="0"/>
        <w:autoSpaceDN w:val="0"/>
        <w:adjustRightInd w:val="0"/>
        <w:spacing w:after="0" w:line="276" w:lineRule="auto"/>
        <w:jc w:val="both"/>
        <w:rPr>
          <w:rFonts w:ascii="Arial" w:hAnsi="Arial" w:cs="Arial"/>
          <w:lang w:val="en-GB"/>
        </w:rPr>
      </w:pPr>
      <w:r w:rsidRPr="009303C1">
        <w:rPr>
          <w:rFonts w:ascii="Arial" w:hAnsi="Arial" w:cs="Arial"/>
          <w:lang w:val="en-GB"/>
        </w:rPr>
        <w:t xml:space="preserve">South African households and consumers remain overtaxed at every turn. Today every income, every activity, every piece of property, every person in the country is subject to a battery of taxes by a government that has wasted, misappropriated, and stolen significant amounts of public funds. There is of course nothing new about this; what is new is that the accelerating drive of the government to tax has begun to run into determined resistance on the part of the South African citizenry. Tax is theft when government mismanages the public finances to the extent we have experienced in South Africa. </w:t>
      </w:r>
    </w:p>
    <w:p w14:paraId="7773CCC1"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30830E29" w14:textId="77777777" w:rsidR="004168D5" w:rsidRPr="009303C1" w:rsidRDefault="004168D5" w:rsidP="004168D5">
      <w:pPr>
        <w:autoSpaceDE w:val="0"/>
        <w:autoSpaceDN w:val="0"/>
        <w:adjustRightInd w:val="0"/>
        <w:spacing w:after="0" w:line="276" w:lineRule="auto"/>
        <w:jc w:val="both"/>
        <w:rPr>
          <w:rFonts w:ascii="Arial" w:hAnsi="Arial" w:cs="Arial"/>
          <w:lang w:val="en-GB"/>
        </w:rPr>
      </w:pPr>
      <w:r w:rsidRPr="009303C1">
        <w:rPr>
          <w:rFonts w:ascii="Arial" w:hAnsi="Arial" w:cs="Arial"/>
          <w:lang w:val="en-GB"/>
        </w:rPr>
        <w:t xml:space="preserve">As such, the DA will not support the introduction of any new taxes or further tax increases.  </w:t>
      </w:r>
    </w:p>
    <w:p w14:paraId="2EC31316"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0CC004D1" w14:textId="77777777" w:rsidR="004168D5" w:rsidRPr="009303C1" w:rsidRDefault="004168D5" w:rsidP="004168D5">
      <w:pPr>
        <w:autoSpaceDE w:val="0"/>
        <w:autoSpaceDN w:val="0"/>
        <w:adjustRightInd w:val="0"/>
        <w:spacing w:after="0" w:line="276" w:lineRule="auto"/>
        <w:jc w:val="both"/>
        <w:rPr>
          <w:rFonts w:ascii="Arial" w:hAnsi="Arial" w:cs="Arial"/>
          <w:lang w:val="en-GB"/>
        </w:rPr>
      </w:pPr>
      <w:bookmarkStart w:id="40" w:name="_Hlk117508718"/>
      <w:r w:rsidRPr="009303C1">
        <w:rPr>
          <w:rFonts w:ascii="Arial" w:hAnsi="Arial" w:cs="Arial"/>
          <w:lang w:val="en-GB"/>
        </w:rPr>
        <w:t>Our alternative budget in February 2022, set out several proposals for tax relief. Given the current cost of living emergency, we propose that the tax on fuel and an expanded zero-rated VAT food basket be considered now, and not deferred until February 2023.</w:t>
      </w:r>
    </w:p>
    <w:bookmarkEnd w:id="40"/>
    <w:p w14:paraId="3D8586E4"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46949ED0" w14:textId="77777777" w:rsidR="004168D5" w:rsidRPr="009303C1" w:rsidRDefault="004168D5" w:rsidP="004168D5">
      <w:pPr>
        <w:pStyle w:val="ListParagraph"/>
        <w:numPr>
          <w:ilvl w:val="0"/>
          <w:numId w:val="35"/>
        </w:numPr>
        <w:autoSpaceDE w:val="0"/>
        <w:autoSpaceDN w:val="0"/>
        <w:adjustRightInd w:val="0"/>
        <w:spacing w:after="0" w:line="276" w:lineRule="auto"/>
        <w:jc w:val="both"/>
        <w:rPr>
          <w:rFonts w:ascii="Arial" w:hAnsi="Arial" w:cs="Arial"/>
          <w:lang w:val="en-GB"/>
        </w:rPr>
      </w:pPr>
      <w:r w:rsidRPr="009303C1">
        <w:rPr>
          <w:rFonts w:ascii="Arial" w:hAnsi="Arial" w:cs="Arial"/>
          <w:b/>
          <w:bCs/>
          <w:lang w:val="en-GB"/>
        </w:rPr>
        <w:t xml:space="preserve">Cut tax on fuel </w:t>
      </w:r>
      <w:r w:rsidRPr="009303C1">
        <w:rPr>
          <w:rStyle w:val="FootnoteReference"/>
          <w:rFonts w:ascii="Arial" w:hAnsi="Arial" w:cs="Arial"/>
          <w:b/>
          <w:bCs/>
          <w:lang w:val="en-GB"/>
        </w:rPr>
        <w:footnoteReference w:id="9"/>
      </w:r>
      <w:r w:rsidRPr="009303C1">
        <w:rPr>
          <w:rFonts w:ascii="Arial" w:hAnsi="Arial" w:cs="Arial"/>
          <w:lang w:val="en-GB"/>
        </w:rPr>
        <w:t>– The cost of fuel is adding to inflationary pressures for South Africans, especially among the poor and the vulnerable. Fuel is the bedrock of a modern, motorised economy – yet it is taxed as if it is a luxury. It does not help that tax levies, including ‘opportunity taxes’ for the Road Accident Fund now constitute 52% of the fuel price. This is unsustainable. The government must immediately review its fuel price determination model and cut the fuel levy.</w:t>
      </w:r>
    </w:p>
    <w:p w14:paraId="4E9D5E10" w14:textId="77777777" w:rsidR="004168D5" w:rsidRPr="009303C1" w:rsidRDefault="004168D5" w:rsidP="004168D5">
      <w:pPr>
        <w:autoSpaceDE w:val="0"/>
        <w:autoSpaceDN w:val="0"/>
        <w:adjustRightInd w:val="0"/>
        <w:spacing w:after="0" w:line="276" w:lineRule="auto"/>
        <w:ind w:left="360"/>
        <w:jc w:val="both"/>
        <w:rPr>
          <w:rFonts w:ascii="Arial" w:hAnsi="Arial" w:cs="Arial"/>
          <w:lang w:val="en-GB"/>
        </w:rPr>
      </w:pPr>
    </w:p>
    <w:p w14:paraId="062E771D" w14:textId="77777777" w:rsidR="004168D5" w:rsidRPr="009303C1" w:rsidRDefault="004168D5" w:rsidP="004168D5">
      <w:pPr>
        <w:pStyle w:val="ListParagraph"/>
        <w:numPr>
          <w:ilvl w:val="0"/>
          <w:numId w:val="35"/>
        </w:numPr>
        <w:autoSpaceDE w:val="0"/>
        <w:autoSpaceDN w:val="0"/>
        <w:adjustRightInd w:val="0"/>
        <w:spacing w:after="0" w:line="276" w:lineRule="auto"/>
        <w:jc w:val="both"/>
        <w:rPr>
          <w:rFonts w:ascii="Arial" w:hAnsi="Arial" w:cs="Arial"/>
          <w:lang w:val="en-GB"/>
        </w:rPr>
      </w:pPr>
      <w:r w:rsidRPr="009303C1">
        <w:rPr>
          <w:rFonts w:ascii="Arial" w:hAnsi="Arial" w:cs="Arial"/>
          <w:b/>
          <w:bCs/>
          <w:lang w:val="en-GB"/>
        </w:rPr>
        <w:t>Increase Zero Rated Vat Basket</w:t>
      </w:r>
      <w:r w:rsidRPr="009303C1">
        <w:rPr>
          <w:rStyle w:val="FootnoteReference"/>
          <w:rFonts w:ascii="Arial" w:hAnsi="Arial" w:cs="Arial"/>
          <w:b/>
          <w:bCs/>
          <w:lang w:val="en-GB"/>
        </w:rPr>
        <w:footnoteReference w:id="10"/>
      </w:r>
      <w:r w:rsidRPr="009303C1">
        <w:rPr>
          <w:rFonts w:ascii="Arial" w:hAnsi="Arial" w:cs="Arial"/>
          <w:b/>
          <w:bCs/>
          <w:lang w:val="en-GB"/>
        </w:rPr>
        <w:t xml:space="preserve"> - </w:t>
      </w:r>
      <w:r w:rsidRPr="009303C1">
        <w:rPr>
          <w:rFonts w:ascii="Arial" w:hAnsi="Arial" w:cs="Arial"/>
          <w:lang w:val="en-GB"/>
        </w:rPr>
        <w:t>The average cost of a food basket of 44 basic items has increased by over R500 on a year-on-year basis.</w:t>
      </w:r>
      <w:r w:rsidRPr="009303C1">
        <w:rPr>
          <w:rFonts w:ascii="Arial" w:hAnsi="Arial" w:cs="Arial"/>
          <w:b/>
          <w:bCs/>
          <w:lang w:val="en-GB"/>
        </w:rPr>
        <w:t xml:space="preserve"> </w:t>
      </w:r>
      <w:r w:rsidRPr="009303C1">
        <w:rPr>
          <w:rFonts w:ascii="Arial" w:hAnsi="Arial" w:cs="Arial"/>
          <w:lang w:val="en-GB"/>
        </w:rPr>
        <w:t xml:space="preserve">It is essential that the Minister of Finance, Enoch </w:t>
      </w:r>
      <w:proofErr w:type="spellStart"/>
      <w:r w:rsidRPr="009303C1">
        <w:rPr>
          <w:rFonts w:ascii="Arial" w:hAnsi="Arial" w:cs="Arial"/>
          <w:lang w:val="en-GB"/>
        </w:rPr>
        <w:t>Godongwana</w:t>
      </w:r>
      <w:proofErr w:type="spellEnd"/>
      <w:r w:rsidRPr="009303C1">
        <w:rPr>
          <w:rFonts w:ascii="Arial" w:hAnsi="Arial" w:cs="Arial"/>
          <w:lang w:val="en-GB"/>
        </w:rPr>
        <w:t>, through the MTBPS announce food price relief. A zero-rate of VAT on a much-increased basket of essential foods will alleviate millions in food taxes paid by struggling South Africans. Items within the increased basket must include chicken, beef, tinned beans, wheat flour, margarine, peanut butter, baby food, tea, coffee, and soup powder.</w:t>
      </w:r>
    </w:p>
    <w:p w14:paraId="3F9C4B35"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69FE0884"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5199AF1B" w14:textId="61005B80" w:rsidR="004168D5" w:rsidRPr="00A664A7" w:rsidRDefault="004168D5" w:rsidP="004168D5">
      <w:pPr>
        <w:pStyle w:val="Heading1"/>
        <w:numPr>
          <w:ilvl w:val="0"/>
          <w:numId w:val="30"/>
        </w:numPr>
        <w:spacing w:before="0" w:line="276" w:lineRule="auto"/>
        <w:jc w:val="both"/>
        <w:rPr>
          <w:rFonts w:ascii="Arial" w:hAnsi="Arial" w:cs="Arial"/>
          <w:b/>
          <w:bCs/>
          <w:color w:val="0070C0"/>
          <w:sz w:val="22"/>
          <w:szCs w:val="22"/>
          <w:u w:val="single"/>
        </w:rPr>
      </w:pPr>
      <w:bookmarkStart w:id="41" w:name="_Toc116638096"/>
      <w:r w:rsidRPr="00A664A7">
        <w:rPr>
          <w:rFonts w:ascii="Arial" w:hAnsi="Arial" w:cs="Arial"/>
          <w:b/>
          <w:bCs/>
          <w:color w:val="0070C0"/>
          <w:sz w:val="22"/>
          <w:szCs w:val="22"/>
          <w:u w:val="single"/>
        </w:rPr>
        <w:t>Commit to the Bolstering of Corruption Busting Institutions</w:t>
      </w:r>
      <w:bookmarkEnd w:id="41"/>
    </w:p>
    <w:p w14:paraId="0FDF8204"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0C8B99D0" w14:textId="77777777" w:rsidR="004168D5" w:rsidRPr="009303C1" w:rsidRDefault="004168D5" w:rsidP="004168D5">
      <w:pPr>
        <w:shd w:val="clear" w:color="auto" w:fill="FFFFFF"/>
        <w:spacing w:after="0" w:line="276" w:lineRule="auto"/>
        <w:jc w:val="both"/>
        <w:rPr>
          <w:rFonts w:ascii="Arial" w:eastAsia="Times New Roman" w:hAnsi="Arial" w:cs="Arial"/>
          <w:lang w:val="en-GB" w:eastAsia="en-GB"/>
        </w:rPr>
      </w:pPr>
      <w:r w:rsidRPr="009303C1">
        <w:rPr>
          <w:rFonts w:ascii="Arial" w:eastAsia="Times New Roman" w:hAnsi="Arial" w:cs="Arial"/>
          <w:lang w:val="en-GB" w:eastAsia="en-GB"/>
        </w:rPr>
        <w:t>A recent report from the Financial Action Task Force (FATF), an international watchdog, identified significant weaknesses in parts of South Africa’s financial regulations which have resulted in high cases of money laundering and terrorism funding in the country.</w:t>
      </w:r>
      <w:r w:rsidRPr="009303C1">
        <w:rPr>
          <w:rFonts w:ascii="Arial" w:hAnsi="Arial" w:cs="Arial"/>
          <w:lang w:val="en-GB"/>
        </w:rPr>
        <w:t xml:space="preserve"> </w:t>
      </w:r>
      <w:r w:rsidRPr="009303C1">
        <w:rPr>
          <w:rFonts w:ascii="Arial" w:eastAsia="Times New Roman" w:hAnsi="Arial" w:cs="Arial"/>
          <w:lang w:val="en-GB" w:eastAsia="en-GB"/>
        </w:rPr>
        <w:t xml:space="preserve">If no significant changes are made to legislation, the country could be </w:t>
      </w:r>
      <w:proofErr w:type="spellStart"/>
      <w:r w:rsidRPr="009303C1">
        <w:rPr>
          <w:rFonts w:ascii="Arial" w:eastAsia="Times New Roman" w:hAnsi="Arial" w:cs="Arial"/>
          <w:lang w:val="en-GB" w:eastAsia="en-GB"/>
        </w:rPr>
        <w:t>greylisted</w:t>
      </w:r>
      <w:proofErr w:type="spellEnd"/>
      <w:r w:rsidRPr="009303C1">
        <w:rPr>
          <w:rFonts w:ascii="Arial" w:eastAsia="Times New Roman" w:hAnsi="Arial" w:cs="Arial"/>
          <w:lang w:val="en-GB" w:eastAsia="en-GB"/>
        </w:rPr>
        <w:t xml:space="preserve"> – meaning it would be deemed a high-risk jurisdiction to transact with.  </w:t>
      </w:r>
    </w:p>
    <w:p w14:paraId="6298898A" w14:textId="77777777" w:rsidR="004168D5" w:rsidRPr="009303C1" w:rsidRDefault="004168D5" w:rsidP="004168D5">
      <w:pPr>
        <w:shd w:val="clear" w:color="auto" w:fill="FFFFFF"/>
        <w:spacing w:after="0" w:line="276" w:lineRule="auto"/>
        <w:jc w:val="both"/>
        <w:rPr>
          <w:rFonts w:ascii="Arial" w:eastAsia="Times New Roman" w:hAnsi="Arial" w:cs="Arial"/>
          <w:lang w:val="en-GB" w:eastAsia="en-GB"/>
        </w:rPr>
      </w:pPr>
    </w:p>
    <w:p w14:paraId="10E17031" w14:textId="77777777" w:rsidR="004168D5" w:rsidRPr="009303C1" w:rsidRDefault="004168D5" w:rsidP="004168D5">
      <w:pPr>
        <w:shd w:val="clear" w:color="auto" w:fill="FFFFFF"/>
        <w:spacing w:after="0" w:line="276" w:lineRule="auto"/>
        <w:jc w:val="both"/>
        <w:rPr>
          <w:rFonts w:ascii="Arial" w:eastAsia="Times New Roman" w:hAnsi="Arial" w:cs="Arial"/>
          <w:lang w:val="en-GB" w:eastAsia="en-GB"/>
        </w:rPr>
      </w:pPr>
      <w:r w:rsidRPr="009303C1">
        <w:rPr>
          <w:rFonts w:ascii="Arial" w:hAnsi="Arial" w:cs="Arial"/>
          <w:lang w:val="en-GB"/>
        </w:rPr>
        <w:t xml:space="preserve">If this were to happen, it would signal to the international market that South Africa is unwilling and unable to urgently tackle systemic organized crime and high-level corruption. </w:t>
      </w:r>
    </w:p>
    <w:p w14:paraId="3399C159"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2C9B39FE" w14:textId="77777777" w:rsidR="004168D5" w:rsidRPr="009303C1" w:rsidRDefault="004168D5" w:rsidP="004168D5">
      <w:pPr>
        <w:autoSpaceDE w:val="0"/>
        <w:autoSpaceDN w:val="0"/>
        <w:adjustRightInd w:val="0"/>
        <w:spacing w:after="0" w:line="276" w:lineRule="auto"/>
        <w:jc w:val="both"/>
        <w:rPr>
          <w:rFonts w:ascii="Arial" w:hAnsi="Arial" w:cs="Arial"/>
          <w:lang w:val="en-GB"/>
        </w:rPr>
      </w:pPr>
      <w:bookmarkStart w:id="42" w:name="_Hlk117508732"/>
      <w:r w:rsidRPr="009303C1">
        <w:rPr>
          <w:rFonts w:ascii="Arial" w:hAnsi="Arial" w:cs="Arial"/>
          <w:lang w:val="en-GB"/>
        </w:rPr>
        <w:t>Corrupted economies are not able to function properly because the very nature of corruption disturbs the market and thereby prevents the natural laws of the economy from functioning freely. As a result, corruption in a nation's political and economic operations causes its entire society to suffer.</w:t>
      </w:r>
    </w:p>
    <w:bookmarkEnd w:id="42"/>
    <w:p w14:paraId="5A0C83C3"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2D27BC6A" w14:textId="77777777" w:rsidR="004168D5" w:rsidRPr="009303C1" w:rsidRDefault="004168D5" w:rsidP="004168D5">
      <w:pPr>
        <w:autoSpaceDE w:val="0"/>
        <w:autoSpaceDN w:val="0"/>
        <w:adjustRightInd w:val="0"/>
        <w:spacing w:after="0" w:line="276" w:lineRule="auto"/>
        <w:jc w:val="both"/>
        <w:rPr>
          <w:rFonts w:ascii="Arial" w:hAnsi="Arial" w:cs="Arial"/>
          <w:lang w:val="en-GB"/>
        </w:rPr>
      </w:pPr>
      <w:r w:rsidRPr="009303C1">
        <w:rPr>
          <w:rFonts w:ascii="Arial" w:hAnsi="Arial" w:cs="Arial"/>
          <w:lang w:val="en-GB"/>
        </w:rPr>
        <w:t>The consequences of which are dire and include:</w:t>
      </w:r>
    </w:p>
    <w:p w14:paraId="6873E98D"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41D3A528" w14:textId="77777777" w:rsidR="004168D5" w:rsidRPr="009303C1" w:rsidRDefault="004168D5" w:rsidP="004168D5">
      <w:pPr>
        <w:pStyle w:val="ListParagraph"/>
        <w:numPr>
          <w:ilvl w:val="0"/>
          <w:numId w:val="27"/>
        </w:numPr>
        <w:autoSpaceDE w:val="0"/>
        <w:autoSpaceDN w:val="0"/>
        <w:adjustRightInd w:val="0"/>
        <w:spacing w:after="0" w:line="276" w:lineRule="auto"/>
        <w:jc w:val="both"/>
        <w:rPr>
          <w:rFonts w:ascii="Arial" w:hAnsi="Arial" w:cs="Arial"/>
          <w:lang w:val="en-GB"/>
        </w:rPr>
      </w:pPr>
      <w:r w:rsidRPr="009303C1">
        <w:rPr>
          <w:rFonts w:ascii="Arial" w:hAnsi="Arial" w:cs="Arial"/>
          <w:lang w:val="en-GB"/>
        </w:rPr>
        <w:t>Artificially higher costs of living and disrupted market prices</w:t>
      </w:r>
    </w:p>
    <w:p w14:paraId="6F73CEB0" w14:textId="77777777" w:rsidR="004168D5" w:rsidRPr="009303C1" w:rsidRDefault="004168D5" w:rsidP="004168D5">
      <w:pPr>
        <w:pStyle w:val="ListParagraph"/>
        <w:numPr>
          <w:ilvl w:val="0"/>
          <w:numId w:val="27"/>
        </w:numPr>
        <w:autoSpaceDE w:val="0"/>
        <w:autoSpaceDN w:val="0"/>
        <w:adjustRightInd w:val="0"/>
        <w:spacing w:after="0" w:line="276" w:lineRule="auto"/>
        <w:jc w:val="both"/>
        <w:rPr>
          <w:rFonts w:ascii="Arial" w:hAnsi="Arial" w:cs="Arial"/>
          <w:lang w:val="en-GB"/>
        </w:rPr>
      </w:pPr>
      <w:r w:rsidRPr="009303C1">
        <w:rPr>
          <w:rFonts w:ascii="Arial" w:hAnsi="Arial" w:cs="Arial"/>
          <w:lang w:val="en-GB"/>
        </w:rPr>
        <w:t>Parallel shadow economies</w:t>
      </w:r>
    </w:p>
    <w:p w14:paraId="48CD2A00" w14:textId="77777777" w:rsidR="004168D5" w:rsidRPr="009303C1" w:rsidRDefault="004168D5" w:rsidP="004168D5">
      <w:pPr>
        <w:pStyle w:val="ListParagraph"/>
        <w:numPr>
          <w:ilvl w:val="0"/>
          <w:numId w:val="27"/>
        </w:numPr>
        <w:autoSpaceDE w:val="0"/>
        <w:autoSpaceDN w:val="0"/>
        <w:adjustRightInd w:val="0"/>
        <w:spacing w:after="0" w:line="276" w:lineRule="auto"/>
        <w:jc w:val="both"/>
        <w:rPr>
          <w:rFonts w:ascii="Arial" w:hAnsi="Arial" w:cs="Arial"/>
          <w:lang w:val="en-GB"/>
        </w:rPr>
      </w:pPr>
      <w:r w:rsidRPr="009303C1">
        <w:rPr>
          <w:rFonts w:ascii="Arial" w:hAnsi="Arial" w:cs="Arial"/>
          <w:lang w:val="en-GB"/>
        </w:rPr>
        <w:t>An inefficient allocation of public and private resources</w:t>
      </w:r>
    </w:p>
    <w:p w14:paraId="01D129C8" w14:textId="77777777" w:rsidR="004168D5" w:rsidRPr="009303C1" w:rsidRDefault="004168D5" w:rsidP="004168D5">
      <w:pPr>
        <w:pStyle w:val="ListParagraph"/>
        <w:numPr>
          <w:ilvl w:val="0"/>
          <w:numId w:val="27"/>
        </w:numPr>
        <w:autoSpaceDE w:val="0"/>
        <w:autoSpaceDN w:val="0"/>
        <w:adjustRightInd w:val="0"/>
        <w:spacing w:after="0" w:line="276" w:lineRule="auto"/>
        <w:jc w:val="both"/>
        <w:rPr>
          <w:rFonts w:ascii="Arial" w:hAnsi="Arial" w:cs="Arial"/>
          <w:lang w:val="en-GB"/>
        </w:rPr>
      </w:pPr>
      <w:r w:rsidRPr="009303C1">
        <w:rPr>
          <w:rFonts w:ascii="Arial" w:hAnsi="Arial" w:cs="Arial"/>
          <w:lang w:val="en-GB"/>
        </w:rPr>
        <w:t>Unevenly distributed wealth</w:t>
      </w:r>
    </w:p>
    <w:p w14:paraId="503C80B9" w14:textId="77777777" w:rsidR="004168D5" w:rsidRPr="009303C1" w:rsidRDefault="004168D5" w:rsidP="004168D5">
      <w:pPr>
        <w:pStyle w:val="ListParagraph"/>
        <w:numPr>
          <w:ilvl w:val="0"/>
          <w:numId w:val="27"/>
        </w:numPr>
        <w:autoSpaceDE w:val="0"/>
        <w:autoSpaceDN w:val="0"/>
        <w:adjustRightInd w:val="0"/>
        <w:spacing w:after="0" w:line="276" w:lineRule="auto"/>
        <w:jc w:val="both"/>
        <w:rPr>
          <w:rFonts w:ascii="Arial" w:hAnsi="Arial" w:cs="Arial"/>
          <w:lang w:val="en-GB"/>
        </w:rPr>
      </w:pPr>
      <w:r w:rsidRPr="009303C1">
        <w:rPr>
          <w:rFonts w:ascii="Arial" w:hAnsi="Arial" w:cs="Arial"/>
          <w:lang w:val="en-GB"/>
        </w:rPr>
        <w:t>Low stimulus for innovation, foreign investment, and trade</w:t>
      </w:r>
    </w:p>
    <w:p w14:paraId="3C231359" w14:textId="77777777" w:rsidR="004168D5" w:rsidRPr="009303C1" w:rsidRDefault="004168D5" w:rsidP="004168D5">
      <w:pPr>
        <w:pStyle w:val="ListParagraph"/>
        <w:numPr>
          <w:ilvl w:val="0"/>
          <w:numId w:val="27"/>
        </w:numPr>
        <w:autoSpaceDE w:val="0"/>
        <w:autoSpaceDN w:val="0"/>
        <w:adjustRightInd w:val="0"/>
        <w:spacing w:after="0" w:line="276" w:lineRule="auto"/>
        <w:jc w:val="both"/>
        <w:rPr>
          <w:rFonts w:ascii="Arial" w:hAnsi="Arial" w:cs="Arial"/>
          <w:lang w:val="en-GB"/>
        </w:rPr>
      </w:pPr>
      <w:r w:rsidRPr="009303C1">
        <w:rPr>
          <w:rFonts w:ascii="Arial" w:hAnsi="Arial" w:cs="Arial"/>
          <w:lang w:val="en-GB"/>
        </w:rPr>
        <w:t>Poor Education and Healthcare</w:t>
      </w:r>
    </w:p>
    <w:p w14:paraId="28AA1B85"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20EE7D28" w14:textId="77777777" w:rsidR="004168D5" w:rsidRPr="009303C1" w:rsidRDefault="004168D5" w:rsidP="004168D5">
      <w:pPr>
        <w:autoSpaceDE w:val="0"/>
        <w:autoSpaceDN w:val="0"/>
        <w:adjustRightInd w:val="0"/>
        <w:spacing w:after="0" w:line="276" w:lineRule="auto"/>
        <w:jc w:val="both"/>
        <w:rPr>
          <w:rFonts w:ascii="Arial" w:hAnsi="Arial" w:cs="Arial"/>
          <w:lang w:val="en-GB"/>
        </w:rPr>
      </w:pPr>
      <w:r w:rsidRPr="009303C1">
        <w:rPr>
          <w:rFonts w:ascii="Arial" w:hAnsi="Arial" w:cs="Arial"/>
          <w:lang w:val="en-GB"/>
        </w:rPr>
        <w:t xml:space="preserve">In this MTBPS, the Minister must provide assurance that more will be done to bolster the capabilities of institutions, such as the NPA, to fight corruption. </w:t>
      </w:r>
      <w:bookmarkStart w:id="43" w:name="_Hlk117508765"/>
      <w:r w:rsidRPr="009303C1">
        <w:rPr>
          <w:rFonts w:ascii="Arial" w:hAnsi="Arial" w:cs="Arial"/>
          <w:lang w:val="en-GB"/>
        </w:rPr>
        <w:t xml:space="preserve">Given that billions have been </w:t>
      </w:r>
      <w:r w:rsidRPr="009303C1">
        <w:rPr>
          <w:rFonts w:ascii="Arial" w:hAnsi="Arial" w:cs="Arial"/>
          <w:lang w:val="en-GB"/>
        </w:rPr>
        <w:lastRenderedPageBreak/>
        <w:t xml:space="preserve">directed towards bailing out dysfunctional SOEs, the 2022 MTBPS and 2023 Budget provide the perfect opportunities for the Minister to direct funds that have been misappropriated and wasted throughout other Ministerial departments towards law enforcement agencies that combat specialized and organized crime such as corruption, money laundering, and terrorist financing. </w:t>
      </w:r>
      <w:bookmarkEnd w:id="43"/>
    </w:p>
    <w:p w14:paraId="78443813" w14:textId="77777777" w:rsidR="004168D5" w:rsidRPr="009303C1" w:rsidRDefault="004168D5" w:rsidP="004168D5">
      <w:pPr>
        <w:autoSpaceDE w:val="0"/>
        <w:autoSpaceDN w:val="0"/>
        <w:adjustRightInd w:val="0"/>
        <w:spacing w:after="0" w:line="276" w:lineRule="auto"/>
        <w:jc w:val="both"/>
        <w:rPr>
          <w:rFonts w:ascii="Arial" w:hAnsi="Arial" w:cs="Arial"/>
          <w:lang w:val="en-GB"/>
        </w:rPr>
      </w:pPr>
    </w:p>
    <w:p w14:paraId="6C283B38" w14:textId="52240A1A" w:rsidR="004168D5" w:rsidRPr="009303C1" w:rsidRDefault="004168D5" w:rsidP="004168D5">
      <w:pPr>
        <w:autoSpaceDE w:val="0"/>
        <w:autoSpaceDN w:val="0"/>
        <w:adjustRightInd w:val="0"/>
        <w:spacing w:after="0" w:line="276" w:lineRule="auto"/>
        <w:jc w:val="both"/>
        <w:rPr>
          <w:rFonts w:ascii="Arial" w:hAnsi="Arial" w:cs="Arial"/>
          <w:lang w:val="en-GB"/>
        </w:rPr>
      </w:pPr>
      <w:r w:rsidRPr="009303C1">
        <w:rPr>
          <w:rFonts w:ascii="Arial" w:hAnsi="Arial" w:cs="Arial"/>
          <w:lang w:val="en-GB"/>
        </w:rPr>
        <w:t xml:space="preserve">Given that the current budget for the National Prosecuting Authority is barely R4.8 billion, much of the funding for the expansion of the entity could even be redirected from wasteful expenditure items – such as Department accommodation, catering, and entertainment among other things and ministerial perks - throughout the various Ministerial Departments and entities that report to them. </w:t>
      </w:r>
    </w:p>
    <w:p w14:paraId="5E74B92B" w14:textId="77777777" w:rsidR="004168D5" w:rsidRPr="009303C1" w:rsidRDefault="004168D5" w:rsidP="004168D5">
      <w:pPr>
        <w:autoSpaceDE w:val="0"/>
        <w:autoSpaceDN w:val="0"/>
        <w:adjustRightInd w:val="0"/>
        <w:spacing w:after="0" w:line="276" w:lineRule="auto"/>
        <w:jc w:val="both"/>
        <w:rPr>
          <w:rFonts w:ascii="Arial" w:hAnsi="Arial" w:cs="Arial"/>
          <w:b/>
          <w:bCs/>
          <w:lang w:val="en-GB"/>
        </w:rPr>
      </w:pPr>
    </w:p>
    <w:p w14:paraId="3EF0A121" w14:textId="77777777" w:rsidR="004168D5" w:rsidRPr="009303C1" w:rsidRDefault="004168D5" w:rsidP="004168D5">
      <w:pPr>
        <w:autoSpaceDE w:val="0"/>
        <w:autoSpaceDN w:val="0"/>
        <w:adjustRightInd w:val="0"/>
        <w:spacing w:after="0" w:line="276" w:lineRule="auto"/>
        <w:jc w:val="both"/>
        <w:rPr>
          <w:rFonts w:ascii="Arial" w:hAnsi="Arial" w:cs="Arial"/>
          <w:lang w:val="en-GB"/>
        </w:rPr>
      </w:pPr>
      <w:r w:rsidRPr="009303C1">
        <w:rPr>
          <w:rFonts w:ascii="Arial" w:hAnsi="Arial" w:cs="Arial"/>
          <w:b/>
          <w:bCs/>
          <w:lang w:val="en-GB"/>
        </w:rPr>
        <w:t xml:space="preserve"> </w:t>
      </w:r>
    </w:p>
    <w:p w14:paraId="30624827" w14:textId="77777777" w:rsidR="004168D5" w:rsidRPr="001E040F" w:rsidRDefault="004168D5" w:rsidP="004168D5">
      <w:pPr>
        <w:pStyle w:val="Heading1"/>
        <w:numPr>
          <w:ilvl w:val="0"/>
          <w:numId w:val="30"/>
        </w:numPr>
        <w:spacing w:before="0" w:line="276" w:lineRule="auto"/>
        <w:jc w:val="both"/>
        <w:rPr>
          <w:rFonts w:ascii="Arial" w:hAnsi="Arial" w:cs="Arial"/>
          <w:b/>
          <w:bCs/>
          <w:color w:val="0070C0"/>
          <w:sz w:val="22"/>
          <w:szCs w:val="22"/>
          <w:u w:val="single"/>
        </w:rPr>
      </w:pPr>
      <w:bookmarkStart w:id="44" w:name="_Toc116638097"/>
      <w:r w:rsidRPr="001E040F">
        <w:rPr>
          <w:rFonts w:ascii="Arial" w:hAnsi="Arial" w:cs="Arial"/>
          <w:b/>
          <w:bCs/>
          <w:color w:val="0070C0"/>
          <w:sz w:val="22"/>
          <w:szCs w:val="22"/>
          <w:u w:val="single"/>
        </w:rPr>
        <w:t>Conclusion</w:t>
      </w:r>
      <w:bookmarkEnd w:id="44"/>
    </w:p>
    <w:p w14:paraId="4576DFDA" w14:textId="77777777" w:rsidR="004168D5" w:rsidRPr="009303C1" w:rsidRDefault="004168D5" w:rsidP="004168D5">
      <w:pPr>
        <w:spacing w:after="0" w:line="276" w:lineRule="auto"/>
        <w:jc w:val="both"/>
        <w:rPr>
          <w:rFonts w:ascii="Arial" w:hAnsi="Arial" w:cs="Arial"/>
          <w:lang w:val="en-GB"/>
        </w:rPr>
      </w:pPr>
    </w:p>
    <w:p w14:paraId="7C76864F" w14:textId="77777777" w:rsidR="004168D5" w:rsidRPr="009303C1" w:rsidRDefault="004168D5" w:rsidP="004168D5">
      <w:pPr>
        <w:spacing w:after="0" w:line="276" w:lineRule="auto"/>
        <w:jc w:val="both"/>
        <w:rPr>
          <w:rFonts w:ascii="Arial" w:hAnsi="Arial" w:cs="Arial"/>
          <w:lang w:val="en-GB"/>
        </w:rPr>
      </w:pPr>
      <w:bookmarkStart w:id="45" w:name="_Hlk117508832"/>
      <w:r w:rsidRPr="009303C1">
        <w:rPr>
          <w:rFonts w:ascii="Arial" w:hAnsi="Arial" w:cs="Arial"/>
          <w:lang w:val="en-GB"/>
        </w:rPr>
        <w:t>Today all manner of crises beset the South African economy</w:t>
      </w:r>
      <w:bookmarkEnd w:id="45"/>
      <w:r w:rsidRPr="009303C1">
        <w:rPr>
          <w:rFonts w:ascii="Arial" w:hAnsi="Arial" w:cs="Arial"/>
          <w:lang w:val="en-GB"/>
        </w:rPr>
        <w:t xml:space="preserve"> i.e., more than half of all young people in South Africa are unemployed, economic growth is nearly non-existent, and real GDP per capita has been falling for the past number of years. The South African economy further suffers from a stringent regulatory environment, a weak skills base and low labour market participation rates, a shrinking tax, over-strained public (and private) infrastructure, decreasing fixed investment, and extremely high levels of crime. </w:t>
      </w:r>
    </w:p>
    <w:p w14:paraId="6A0B75EA" w14:textId="77777777"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tab/>
      </w:r>
    </w:p>
    <w:p w14:paraId="54B77D87" w14:textId="77777777" w:rsidR="004168D5" w:rsidRPr="009303C1" w:rsidRDefault="004168D5" w:rsidP="004168D5">
      <w:pPr>
        <w:spacing w:after="0" w:line="276" w:lineRule="auto"/>
        <w:jc w:val="both"/>
        <w:rPr>
          <w:rFonts w:ascii="Arial" w:hAnsi="Arial" w:cs="Arial"/>
          <w:lang w:val="en-GB"/>
        </w:rPr>
      </w:pPr>
      <w:bookmarkStart w:id="46" w:name="_Hlk117508872"/>
      <w:r w:rsidRPr="009303C1">
        <w:rPr>
          <w:rFonts w:ascii="Arial" w:hAnsi="Arial" w:cs="Arial"/>
          <w:lang w:val="en-GB"/>
        </w:rPr>
        <w:t xml:space="preserve">The ANC elites’ propensity for seeking to express optimism must be tempered by a realistic appreciation of the consequences of living in a country in which the policies of its government are not conducive to creating the business-friendly environment </w:t>
      </w:r>
      <w:bookmarkEnd w:id="46"/>
      <w:r w:rsidRPr="009303C1">
        <w:rPr>
          <w:rFonts w:ascii="Arial" w:hAnsi="Arial" w:cs="Arial"/>
          <w:lang w:val="en-GB"/>
        </w:rPr>
        <w:t xml:space="preserve">that will attract the requisite capital, generate the necessary growth, and support the job creation initiatives that will see millions of South Africans escape a life of poverty and desperation.  </w:t>
      </w:r>
    </w:p>
    <w:p w14:paraId="1E5796FC" w14:textId="77777777" w:rsidR="004168D5" w:rsidRPr="009303C1" w:rsidRDefault="004168D5" w:rsidP="004168D5">
      <w:pPr>
        <w:spacing w:after="0" w:line="276" w:lineRule="auto"/>
        <w:jc w:val="both"/>
        <w:rPr>
          <w:rFonts w:ascii="Arial" w:hAnsi="Arial" w:cs="Arial"/>
          <w:lang w:val="en-GB"/>
        </w:rPr>
      </w:pPr>
    </w:p>
    <w:p w14:paraId="21480D74" w14:textId="77777777" w:rsidR="004168D5" w:rsidRPr="009303C1" w:rsidRDefault="004168D5" w:rsidP="004168D5">
      <w:pPr>
        <w:spacing w:after="0" w:line="276" w:lineRule="auto"/>
        <w:jc w:val="both"/>
        <w:rPr>
          <w:rFonts w:ascii="Arial" w:hAnsi="Arial" w:cs="Arial"/>
          <w:lang w:val="en-GB"/>
        </w:rPr>
      </w:pPr>
      <w:r w:rsidRPr="009303C1">
        <w:rPr>
          <w:rFonts w:ascii="Arial" w:hAnsi="Arial" w:cs="Arial"/>
          <w:lang w:val="en-GB"/>
        </w:rPr>
        <w:t xml:space="preserve">There is to this effect a significant difference between optimism professed, and optimism acted upon. </w:t>
      </w:r>
      <w:bookmarkStart w:id="47" w:name="_Hlk117508927"/>
      <w:r w:rsidRPr="009303C1">
        <w:rPr>
          <w:rFonts w:ascii="Arial" w:hAnsi="Arial" w:cs="Arial"/>
          <w:lang w:val="en-GB"/>
        </w:rPr>
        <w:t>As the DA we are acutely aware that there is no silver bullet. But the South African economy is surrounded by endless possibilities. The first step towards prosperity would be to do away with hostile and anti-poor policies</w:t>
      </w:r>
      <w:bookmarkEnd w:id="47"/>
      <w:r w:rsidRPr="009303C1">
        <w:rPr>
          <w:rFonts w:ascii="Arial" w:hAnsi="Arial" w:cs="Arial"/>
          <w:lang w:val="en-GB"/>
        </w:rPr>
        <w:t xml:space="preserve">, such as onerous race-based labour market legislation and policies that threaten to expropriate private property, to the extent that they are a non-issue. </w:t>
      </w:r>
    </w:p>
    <w:p w14:paraId="6438CEB0" w14:textId="77777777" w:rsidR="004168D5" w:rsidRPr="009303C1" w:rsidRDefault="004168D5" w:rsidP="004168D5">
      <w:pPr>
        <w:spacing w:after="0" w:line="276" w:lineRule="auto"/>
        <w:jc w:val="both"/>
        <w:rPr>
          <w:rFonts w:ascii="Arial" w:hAnsi="Arial" w:cs="Arial"/>
          <w:lang w:val="en-GB"/>
        </w:rPr>
      </w:pPr>
    </w:p>
    <w:p w14:paraId="725E34F0" w14:textId="77777777" w:rsidR="004168D5" w:rsidRPr="009303C1" w:rsidRDefault="004168D5" w:rsidP="004168D5">
      <w:pPr>
        <w:spacing w:after="0" w:line="276" w:lineRule="auto"/>
        <w:jc w:val="both"/>
        <w:rPr>
          <w:rFonts w:ascii="Arial" w:hAnsi="Arial" w:cs="Arial"/>
          <w:lang w:val="en-GB"/>
        </w:rPr>
      </w:pPr>
      <w:bookmarkStart w:id="48" w:name="_Hlk117509741"/>
      <w:r w:rsidRPr="009303C1">
        <w:rPr>
          <w:rFonts w:ascii="Arial" w:hAnsi="Arial" w:cs="Arial"/>
          <w:lang w:val="en-GB"/>
        </w:rPr>
        <w:t xml:space="preserve">Should we as a country not divert from the disastrous path the ANC has paved, the consequence will be that South Africa will never again aspire to rival the growth rates of comparable emerging markets.  </w:t>
      </w:r>
    </w:p>
    <w:bookmarkEnd w:id="48"/>
    <w:p w14:paraId="2321D6D2" w14:textId="77777777" w:rsidR="004168D5" w:rsidRPr="009303C1" w:rsidRDefault="004168D5" w:rsidP="004168D5">
      <w:pPr>
        <w:spacing w:after="0" w:line="276" w:lineRule="auto"/>
        <w:jc w:val="both"/>
        <w:rPr>
          <w:rFonts w:ascii="Arial" w:hAnsi="Arial" w:cs="Arial"/>
          <w:lang w:val="en-GB"/>
        </w:rPr>
      </w:pPr>
    </w:p>
    <w:p w14:paraId="56590DCF" w14:textId="5E54E1D9" w:rsidR="001F1F95" w:rsidRPr="009303C1" w:rsidRDefault="001F1F95" w:rsidP="006F46CD">
      <w:pPr>
        <w:tabs>
          <w:tab w:val="left" w:pos="1005"/>
        </w:tabs>
        <w:rPr>
          <w:lang w:val="en-GB"/>
        </w:rPr>
      </w:pPr>
    </w:p>
    <w:p w14:paraId="79693C30" w14:textId="63DF3CB1" w:rsidR="00E713BD" w:rsidRPr="009303C1" w:rsidRDefault="00E713BD" w:rsidP="006F46CD">
      <w:pPr>
        <w:tabs>
          <w:tab w:val="left" w:pos="1005"/>
        </w:tabs>
        <w:rPr>
          <w:lang w:val="en-GB"/>
        </w:rPr>
      </w:pPr>
    </w:p>
    <w:p w14:paraId="062839C8" w14:textId="503D5B36" w:rsidR="0041449E" w:rsidRPr="009303C1" w:rsidRDefault="0041449E" w:rsidP="006F46CD">
      <w:pPr>
        <w:tabs>
          <w:tab w:val="left" w:pos="1005"/>
        </w:tabs>
        <w:rPr>
          <w:lang w:val="en-GB"/>
        </w:rPr>
      </w:pPr>
    </w:p>
    <w:p w14:paraId="6D8BEDE0" w14:textId="77777777" w:rsidR="0041449E" w:rsidRDefault="0041449E" w:rsidP="006F46CD">
      <w:pPr>
        <w:tabs>
          <w:tab w:val="left" w:pos="1005"/>
        </w:tabs>
        <w:sectPr w:rsidR="0041449E" w:rsidSect="00FE1AF9">
          <w:headerReference w:type="even" r:id="rId10"/>
          <w:headerReference w:type="default" r:id="rId11"/>
          <w:footerReference w:type="default" r:id="rId12"/>
          <w:footerReference w:type="first" r:id="rId13"/>
          <w:pgSz w:w="11906" w:h="16838"/>
          <w:pgMar w:top="1440" w:right="1440" w:bottom="1440" w:left="1440" w:header="708" w:footer="708" w:gutter="0"/>
          <w:pgNumType w:start="0"/>
          <w:cols w:space="708"/>
          <w:titlePg/>
          <w:docGrid w:linePitch="360"/>
        </w:sectPr>
      </w:pPr>
    </w:p>
    <w:p w14:paraId="1DB2A9B8" w14:textId="4044FE9B" w:rsidR="00E713BD" w:rsidRDefault="00E713BD" w:rsidP="00E713BD">
      <w:pPr>
        <w:pStyle w:val="Caption"/>
        <w:keepNext/>
        <w:rPr>
          <w:rFonts w:ascii="Arial" w:hAnsi="Arial" w:cs="Arial"/>
          <w:color w:val="auto"/>
          <w:sz w:val="22"/>
          <w:szCs w:val="22"/>
        </w:rPr>
      </w:pPr>
      <w:bookmarkStart w:id="49" w:name="_Toc117424601"/>
      <w:r w:rsidRPr="00E713BD">
        <w:rPr>
          <w:rFonts w:ascii="Arial" w:hAnsi="Arial" w:cs="Arial"/>
          <w:color w:val="auto"/>
          <w:sz w:val="22"/>
          <w:szCs w:val="22"/>
        </w:rPr>
        <w:lastRenderedPageBreak/>
        <w:t xml:space="preserve">Table </w:t>
      </w:r>
      <w:r w:rsidRPr="00E713BD">
        <w:rPr>
          <w:rFonts w:ascii="Arial" w:hAnsi="Arial" w:cs="Arial"/>
          <w:color w:val="auto"/>
          <w:sz w:val="22"/>
          <w:szCs w:val="22"/>
        </w:rPr>
        <w:fldChar w:fldCharType="begin"/>
      </w:r>
      <w:r w:rsidRPr="00E713BD">
        <w:rPr>
          <w:rFonts w:ascii="Arial" w:hAnsi="Arial" w:cs="Arial"/>
          <w:color w:val="auto"/>
          <w:sz w:val="22"/>
          <w:szCs w:val="22"/>
        </w:rPr>
        <w:instrText xml:space="preserve"> SEQ Table \* ARABIC </w:instrText>
      </w:r>
      <w:r w:rsidRPr="00E713BD">
        <w:rPr>
          <w:rFonts w:ascii="Arial" w:hAnsi="Arial" w:cs="Arial"/>
          <w:color w:val="auto"/>
          <w:sz w:val="22"/>
          <w:szCs w:val="22"/>
        </w:rPr>
        <w:fldChar w:fldCharType="separate"/>
      </w:r>
      <w:r w:rsidR="00A664A7">
        <w:rPr>
          <w:rFonts w:ascii="Arial" w:hAnsi="Arial" w:cs="Arial"/>
          <w:noProof/>
          <w:color w:val="auto"/>
          <w:sz w:val="22"/>
          <w:szCs w:val="22"/>
        </w:rPr>
        <w:t>1</w:t>
      </w:r>
      <w:r w:rsidRPr="00E713BD">
        <w:rPr>
          <w:rFonts w:ascii="Arial" w:hAnsi="Arial" w:cs="Arial"/>
          <w:color w:val="auto"/>
          <w:sz w:val="22"/>
          <w:szCs w:val="22"/>
        </w:rPr>
        <w:fldChar w:fldCharType="end"/>
      </w:r>
      <w:r w:rsidRPr="00E713BD">
        <w:rPr>
          <w:rFonts w:ascii="Arial" w:hAnsi="Arial" w:cs="Arial"/>
          <w:color w:val="auto"/>
          <w:sz w:val="22"/>
          <w:szCs w:val="22"/>
        </w:rPr>
        <w:t>: Alternative Budget Framework</w:t>
      </w:r>
      <w:bookmarkEnd w:id="49"/>
    </w:p>
    <w:tbl>
      <w:tblPr>
        <w:tblStyle w:val="TableGrid"/>
        <w:tblW w:w="10657" w:type="dxa"/>
        <w:tblLook w:val="04A0" w:firstRow="1" w:lastRow="0" w:firstColumn="1" w:lastColumn="0" w:noHBand="0" w:noVBand="1"/>
      </w:tblPr>
      <w:tblGrid>
        <w:gridCol w:w="3286"/>
        <w:gridCol w:w="2607"/>
        <w:gridCol w:w="2354"/>
        <w:gridCol w:w="2410"/>
      </w:tblGrid>
      <w:tr w:rsidR="00DE55ED" w:rsidRPr="004C51AA" w14:paraId="3BDEC5CC" w14:textId="77777777" w:rsidTr="008E15C2">
        <w:trPr>
          <w:trHeight w:val="315"/>
        </w:trPr>
        <w:tc>
          <w:tcPr>
            <w:tcW w:w="3286" w:type="dxa"/>
            <w:noWrap/>
            <w:hideMark/>
          </w:tcPr>
          <w:p w14:paraId="240C9275" w14:textId="77777777" w:rsidR="008D2191" w:rsidRPr="004C51AA" w:rsidRDefault="008D2191" w:rsidP="004C51AA">
            <w:pPr>
              <w:rPr>
                <w:rFonts w:ascii="Arial" w:hAnsi="Arial" w:cs="Arial"/>
                <w:sz w:val="18"/>
                <w:szCs w:val="18"/>
              </w:rPr>
            </w:pPr>
            <w:r w:rsidRPr="004C51AA">
              <w:rPr>
                <w:rFonts w:ascii="Arial" w:hAnsi="Arial" w:cs="Arial"/>
                <w:sz w:val="18"/>
                <w:szCs w:val="18"/>
              </w:rPr>
              <w:t>R '</w:t>
            </w:r>
          </w:p>
        </w:tc>
        <w:tc>
          <w:tcPr>
            <w:tcW w:w="2607" w:type="dxa"/>
            <w:noWrap/>
            <w:hideMark/>
          </w:tcPr>
          <w:p w14:paraId="115B5365" w14:textId="77777777" w:rsidR="008D2191" w:rsidRPr="004C51AA" w:rsidRDefault="008D2191" w:rsidP="004C51AA">
            <w:pPr>
              <w:rPr>
                <w:rFonts w:ascii="Arial" w:hAnsi="Arial" w:cs="Arial"/>
                <w:b/>
                <w:bCs/>
                <w:sz w:val="18"/>
                <w:szCs w:val="18"/>
              </w:rPr>
            </w:pPr>
            <w:r w:rsidRPr="004C51AA">
              <w:rPr>
                <w:rFonts w:ascii="Arial" w:hAnsi="Arial" w:cs="Arial"/>
                <w:b/>
                <w:bCs/>
                <w:sz w:val="18"/>
                <w:szCs w:val="18"/>
              </w:rPr>
              <w:t>2022/23</w:t>
            </w:r>
          </w:p>
        </w:tc>
        <w:tc>
          <w:tcPr>
            <w:tcW w:w="2354" w:type="dxa"/>
            <w:noWrap/>
            <w:hideMark/>
          </w:tcPr>
          <w:p w14:paraId="779B08B4" w14:textId="77777777" w:rsidR="008D2191" w:rsidRPr="004C51AA" w:rsidRDefault="008D2191" w:rsidP="004C51AA">
            <w:pPr>
              <w:rPr>
                <w:rFonts w:ascii="Arial" w:hAnsi="Arial" w:cs="Arial"/>
                <w:b/>
                <w:bCs/>
                <w:sz w:val="18"/>
                <w:szCs w:val="18"/>
              </w:rPr>
            </w:pPr>
            <w:r w:rsidRPr="004C51AA">
              <w:rPr>
                <w:rFonts w:ascii="Arial" w:hAnsi="Arial" w:cs="Arial"/>
                <w:b/>
                <w:bCs/>
                <w:sz w:val="18"/>
                <w:szCs w:val="18"/>
              </w:rPr>
              <w:t>2023/24</w:t>
            </w:r>
          </w:p>
        </w:tc>
        <w:tc>
          <w:tcPr>
            <w:tcW w:w="2410" w:type="dxa"/>
            <w:noWrap/>
            <w:hideMark/>
          </w:tcPr>
          <w:p w14:paraId="11A9D861" w14:textId="77777777" w:rsidR="008D2191" w:rsidRPr="004C51AA" w:rsidRDefault="008D2191" w:rsidP="004C51AA">
            <w:pPr>
              <w:rPr>
                <w:rFonts w:ascii="Arial" w:hAnsi="Arial" w:cs="Arial"/>
                <w:b/>
                <w:bCs/>
                <w:sz w:val="18"/>
                <w:szCs w:val="18"/>
              </w:rPr>
            </w:pPr>
            <w:r w:rsidRPr="004C51AA">
              <w:rPr>
                <w:rFonts w:ascii="Arial" w:hAnsi="Arial" w:cs="Arial"/>
                <w:b/>
                <w:bCs/>
                <w:sz w:val="18"/>
                <w:szCs w:val="18"/>
              </w:rPr>
              <w:t>2024/25</w:t>
            </w:r>
          </w:p>
        </w:tc>
      </w:tr>
      <w:tr w:rsidR="0035020B" w:rsidRPr="004C51AA" w14:paraId="0BFBA6FC" w14:textId="77777777" w:rsidTr="008E15C2">
        <w:trPr>
          <w:trHeight w:val="315"/>
        </w:trPr>
        <w:tc>
          <w:tcPr>
            <w:tcW w:w="3286" w:type="dxa"/>
            <w:noWrap/>
            <w:hideMark/>
          </w:tcPr>
          <w:p w14:paraId="6C5704AA" w14:textId="77777777" w:rsidR="008D2191" w:rsidRPr="004C51AA" w:rsidRDefault="008D2191" w:rsidP="004C51AA">
            <w:pPr>
              <w:rPr>
                <w:rFonts w:ascii="Arial" w:hAnsi="Arial" w:cs="Arial"/>
                <w:sz w:val="18"/>
                <w:szCs w:val="18"/>
              </w:rPr>
            </w:pPr>
            <w:r w:rsidRPr="004C51AA">
              <w:rPr>
                <w:rFonts w:ascii="Arial" w:hAnsi="Arial" w:cs="Arial"/>
                <w:sz w:val="18"/>
                <w:szCs w:val="18"/>
              </w:rPr>
              <w:t> </w:t>
            </w:r>
          </w:p>
        </w:tc>
        <w:tc>
          <w:tcPr>
            <w:tcW w:w="2607" w:type="dxa"/>
            <w:noWrap/>
            <w:hideMark/>
          </w:tcPr>
          <w:p w14:paraId="615ADAA0"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c>
          <w:tcPr>
            <w:tcW w:w="2354" w:type="dxa"/>
            <w:noWrap/>
            <w:hideMark/>
          </w:tcPr>
          <w:p w14:paraId="7582297A"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c>
          <w:tcPr>
            <w:tcW w:w="2410" w:type="dxa"/>
            <w:noWrap/>
            <w:hideMark/>
          </w:tcPr>
          <w:p w14:paraId="1D7E291B"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22F8114C" w14:textId="77777777" w:rsidTr="008E15C2">
        <w:trPr>
          <w:trHeight w:val="315"/>
        </w:trPr>
        <w:tc>
          <w:tcPr>
            <w:tcW w:w="3286" w:type="dxa"/>
            <w:noWrap/>
            <w:hideMark/>
          </w:tcPr>
          <w:p w14:paraId="5041D189" w14:textId="77777777" w:rsidR="008D2191" w:rsidRPr="004C51AA" w:rsidRDefault="008D2191" w:rsidP="00820515">
            <w:pPr>
              <w:rPr>
                <w:rFonts w:ascii="Arial" w:hAnsi="Arial" w:cs="Arial"/>
                <w:b/>
                <w:bCs/>
                <w:sz w:val="18"/>
                <w:szCs w:val="18"/>
              </w:rPr>
            </w:pPr>
            <w:r w:rsidRPr="004C51AA">
              <w:rPr>
                <w:rFonts w:ascii="Arial" w:hAnsi="Arial" w:cs="Arial"/>
                <w:b/>
                <w:bCs/>
                <w:sz w:val="18"/>
                <w:szCs w:val="18"/>
              </w:rPr>
              <w:t>As Per 2022 Budget and SARB Forecast</w:t>
            </w:r>
          </w:p>
        </w:tc>
        <w:tc>
          <w:tcPr>
            <w:tcW w:w="2607" w:type="dxa"/>
            <w:noWrap/>
            <w:hideMark/>
          </w:tcPr>
          <w:p w14:paraId="08105342" w14:textId="77777777" w:rsidR="008D2191" w:rsidRPr="004C51AA" w:rsidRDefault="008D2191" w:rsidP="004C51AA">
            <w:pPr>
              <w:jc w:val="right"/>
              <w:rPr>
                <w:rFonts w:ascii="Arial" w:hAnsi="Arial" w:cs="Arial"/>
                <w:b/>
                <w:bCs/>
                <w:sz w:val="18"/>
                <w:szCs w:val="18"/>
              </w:rPr>
            </w:pPr>
          </w:p>
        </w:tc>
        <w:tc>
          <w:tcPr>
            <w:tcW w:w="2354" w:type="dxa"/>
            <w:noWrap/>
            <w:hideMark/>
          </w:tcPr>
          <w:p w14:paraId="7556C053" w14:textId="77777777" w:rsidR="008D2191" w:rsidRPr="004C51AA" w:rsidRDefault="008D2191" w:rsidP="004C51AA">
            <w:pPr>
              <w:jc w:val="right"/>
              <w:rPr>
                <w:rFonts w:ascii="Arial" w:hAnsi="Arial" w:cs="Arial"/>
                <w:sz w:val="18"/>
                <w:szCs w:val="18"/>
              </w:rPr>
            </w:pPr>
          </w:p>
        </w:tc>
        <w:tc>
          <w:tcPr>
            <w:tcW w:w="2410" w:type="dxa"/>
            <w:noWrap/>
            <w:hideMark/>
          </w:tcPr>
          <w:p w14:paraId="1C1D1695"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29C1BEE8" w14:textId="77777777" w:rsidTr="008E15C2">
        <w:trPr>
          <w:trHeight w:val="300"/>
        </w:trPr>
        <w:tc>
          <w:tcPr>
            <w:tcW w:w="3286" w:type="dxa"/>
            <w:noWrap/>
            <w:hideMark/>
          </w:tcPr>
          <w:p w14:paraId="21BC48CF"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4F41E984" w14:textId="77777777" w:rsidR="008D2191" w:rsidRPr="004C51AA" w:rsidRDefault="008D2191" w:rsidP="004C51AA">
            <w:pPr>
              <w:jc w:val="right"/>
              <w:rPr>
                <w:rFonts w:ascii="Arial" w:hAnsi="Arial" w:cs="Arial"/>
                <w:sz w:val="18"/>
                <w:szCs w:val="18"/>
              </w:rPr>
            </w:pPr>
          </w:p>
        </w:tc>
        <w:tc>
          <w:tcPr>
            <w:tcW w:w="2354" w:type="dxa"/>
            <w:noWrap/>
            <w:hideMark/>
          </w:tcPr>
          <w:p w14:paraId="2EA84F43" w14:textId="77777777" w:rsidR="008D2191" w:rsidRPr="004C51AA" w:rsidRDefault="008D2191" w:rsidP="004C51AA">
            <w:pPr>
              <w:jc w:val="right"/>
              <w:rPr>
                <w:rFonts w:ascii="Arial" w:hAnsi="Arial" w:cs="Arial"/>
                <w:sz w:val="18"/>
                <w:szCs w:val="18"/>
              </w:rPr>
            </w:pPr>
          </w:p>
        </w:tc>
        <w:tc>
          <w:tcPr>
            <w:tcW w:w="2410" w:type="dxa"/>
            <w:noWrap/>
            <w:hideMark/>
          </w:tcPr>
          <w:p w14:paraId="09F57CCF"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2601F55F" w14:textId="77777777" w:rsidTr="008E15C2">
        <w:trPr>
          <w:trHeight w:val="300"/>
        </w:trPr>
        <w:tc>
          <w:tcPr>
            <w:tcW w:w="3286" w:type="dxa"/>
            <w:noWrap/>
            <w:hideMark/>
          </w:tcPr>
          <w:p w14:paraId="08C59C7B" w14:textId="77777777" w:rsidR="008D2191" w:rsidRPr="004C51AA" w:rsidRDefault="008D2191" w:rsidP="00820515">
            <w:pPr>
              <w:rPr>
                <w:rFonts w:ascii="Arial" w:hAnsi="Arial" w:cs="Arial"/>
                <w:sz w:val="18"/>
                <w:szCs w:val="18"/>
              </w:rPr>
            </w:pPr>
            <w:r w:rsidRPr="004C51AA">
              <w:rPr>
                <w:rFonts w:ascii="Arial" w:hAnsi="Arial" w:cs="Arial"/>
                <w:sz w:val="18"/>
                <w:szCs w:val="18"/>
              </w:rPr>
              <w:t>Nominal GDP (Budget)</w:t>
            </w:r>
          </w:p>
        </w:tc>
        <w:tc>
          <w:tcPr>
            <w:tcW w:w="2607" w:type="dxa"/>
            <w:noWrap/>
            <w:hideMark/>
          </w:tcPr>
          <w:p w14:paraId="2010D821" w14:textId="6BC07C0C" w:rsidR="008D2191" w:rsidRPr="004C51AA" w:rsidRDefault="008D2191" w:rsidP="004C51AA">
            <w:pPr>
              <w:jc w:val="right"/>
              <w:rPr>
                <w:rFonts w:ascii="Arial" w:hAnsi="Arial" w:cs="Arial"/>
                <w:sz w:val="18"/>
                <w:szCs w:val="18"/>
              </w:rPr>
            </w:pPr>
            <w:r w:rsidRPr="004C51AA">
              <w:rPr>
                <w:rFonts w:ascii="Arial" w:hAnsi="Arial" w:cs="Arial"/>
                <w:sz w:val="18"/>
                <w:szCs w:val="18"/>
              </w:rPr>
              <w:t xml:space="preserve">   6 441 300 000 000 </w:t>
            </w:r>
          </w:p>
        </w:tc>
        <w:tc>
          <w:tcPr>
            <w:tcW w:w="2354" w:type="dxa"/>
            <w:noWrap/>
            <w:hideMark/>
          </w:tcPr>
          <w:p w14:paraId="41401B5E" w14:textId="385A5F6E" w:rsidR="008D2191" w:rsidRPr="004C51AA" w:rsidRDefault="008D2191" w:rsidP="004C51AA">
            <w:pPr>
              <w:jc w:val="right"/>
              <w:rPr>
                <w:rFonts w:ascii="Arial" w:hAnsi="Arial" w:cs="Arial"/>
                <w:sz w:val="18"/>
                <w:szCs w:val="18"/>
              </w:rPr>
            </w:pPr>
            <w:r w:rsidRPr="004C51AA">
              <w:rPr>
                <w:rFonts w:ascii="Arial" w:hAnsi="Arial" w:cs="Arial"/>
                <w:sz w:val="18"/>
                <w:szCs w:val="18"/>
              </w:rPr>
              <w:t xml:space="preserve">   6 805 300 000 000 </w:t>
            </w:r>
          </w:p>
        </w:tc>
        <w:tc>
          <w:tcPr>
            <w:tcW w:w="2410" w:type="dxa"/>
            <w:noWrap/>
            <w:hideMark/>
          </w:tcPr>
          <w:p w14:paraId="5366B386" w14:textId="7153D311" w:rsidR="008D2191" w:rsidRPr="004C51AA" w:rsidRDefault="008D2191" w:rsidP="004C51AA">
            <w:pPr>
              <w:jc w:val="right"/>
              <w:rPr>
                <w:rFonts w:ascii="Arial" w:hAnsi="Arial" w:cs="Arial"/>
                <w:sz w:val="18"/>
                <w:szCs w:val="18"/>
              </w:rPr>
            </w:pPr>
            <w:r w:rsidRPr="004C51AA">
              <w:rPr>
                <w:rFonts w:ascii="Arial" w:hAnsi="Arial" w:cs="Arial"/>
                <w:sz w:val="18"/>
                <w:szCs w:val="18"/>
              </w:rPr>
              <w:t xml:space="preserve">   7 233 700 000 000</w:t>
            </w:r>
          </w:p>
        </w:tc>
      </w:tr>
      <w:tr w:rsidR="0035020B" w:rsidRPr="004C51AA" w14:paraId="12136753" w14:textId="77777777" w:rsidTr="008E15C2">
        <w:trPr>
          <w:trHeight w:val="300"/>
        </w:trPr>
        <w:tc>
          <w:tcPr>
            <w:tcW w:w="3286" w:type="dxa"/>
            <w:noWrap/>
            <w:hideMark/>
          </w:tcPr>
          <w:p w14:paraId="342F013F"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0A4FAF86" w14:textId="77777777" w:rsidR="008D2191" w:rsidRPr="004C51AA" w:rsidRDefault="008D2191" w:rsidP="004C51AA">
            <w:pPr>
              <w:jc w:val="right"/>
              <w:rPr>
                <w:rFonts w:ascii="Arial" w:hAnsi="Arial" w:cs="Arial"/>
                <w:sz w:val="18"/>
                <w:szCs w:val="18"/>
              </w:rPr>
            </w:pPr>
          </w:p>
        </w:tc>
        <w:tc>
          <w:tcPr>
            <w:tcW w:w="2354" w:type="dxa"/>
            <w:noWrap/>
            <w:hideMark/>
          </w:tcPr>
          <w:p w14:paraId="2E0D4ECB" w14:textId="77777777" w:rsidR="008D2191" w:rsidRPr="004C51AA" w:rsidRDefault="008D2191" w:rsidP="004C51AA">
            <w:pPr>
              <w:jc w:val="right"/>
              <w:rPr>
                <w:rFonts w:ascii="Arial" w:hAnsi="Arial" w:cs="Arial"/>
                <w:sz w:val="18"/>
                <w:szCs w:val="18"/>
              </w:rPr>
            </w:pPr>
          </w:p>
        </w:tc>
        <w:tc>
          <w:tcPr>
            <w:tcW w:w="2410" w:type="dxa"/>
            <w:noWrap/>
            <w:hideMark/>
          </w:tcPr>
          <w:p w14:paraId="4F94948B"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5B0F8B60" w14:textId="77777777" w:rsidTr="008E15C2">
        <w:trPr>
          <w:trHeight w:val="300"/>
        </w:trPr>
        <w:tc>
          <w:tcPr>
            <w:tcW w:w="3286" w:type="dxa"/>
            <w:noWrap/>
            <w:hideMark/>
          </w:tcPr>
          <w:p w14:paraId="0D6F91EE" w14:textId="77777777" w:rsidR="008D2191" w:rsidRPr="004C51AA" w:rsidRDefault="008D2191" w:rsidP="00820515">
            <w:pPr>
              <w:rPr>
                <w:rFonts w:ascii="Arial" w:hAnsi="Arial" w:cs="Arial"/>
                <w:sz w:val="18"/>
                <w:szCs w:val="18"/>
              </w:rPr>
            </w:pPr>
            <w:r w:rsidRPr="004C51AA">
              <w:rPr>
                <w:rFonts w:ascii="Arial" w:hAnsi="Arial" w:cs="Arial"/>
                <w:sz w:val="18"/>
                <w:szCs w:val="18"/>
              </w:rPr>
              <w:t>Nominal GDP (SARB Forecast)</w:t>
            </w:r>
          </w:p>
        </w:tc>
        <w:tc>
          <w:tcPr>
            <w:tcW w:w="2607" w:type="dxa"/>
            <w:noWrap/>
            <w:hideMark/>
          </w:tcPr>
          <w:p w14:paraId="0C3E0279" w14:textId="6ED86ED8" w:rsidR="008D2191" w:rsidRPr="004C51AA" w:rsidRDefault="008D2191" w:rsidP="004C51AA">
            <w:pPr>
              <w:jc w:val="right"/>
              <w:rPr>
                <w:rFonts w:ascii="Arial" w:hAnsi="Arial" w:cs="Arial"/>
                <w:sz w:val="18"/>
                <w:szCs w:val="18"/>
              </w:rPr>
            </w:pPr>
            <w:r w:rsidRPr="004C51AA">
              <w:rPr>
                <w:rFonts w:ascii="Arial" w:hAnsi="Arial" w:cs="Arial"/>
                <w:sz w:val="18"/>
                <w:szCs w:val="18"/>
              </w:rPr>
              <w:t xml:space="preserve">   6 310 154 699 800 </w:t>
            </w:r>
          </w:p>
        </w:tc>
        <w:tc>
          <w:tcPr>
            <w:tcW w:w="2354" w:type="dxa"/>
            <w:noWrap/>
            <w:hideMark/>
          </w:tcPr>
          <w:p w14:paraId="41F19979" w14:textId="48EAA618" w:rsidR="008D2191" w:rsidRPr="004C51AA" w:rsidRDefault="008D2191" w:rsidP="004C51AA">
            <w:pPr>
              <w:jc w:val="right"/>
              <w:rPr>
                <w:rFonts w:ascii="Arial" w:hAnsi="Arial" w:cs="Arial"/>
                <w:sz w:val="18"/>
                <w:szCs w:val="18"/>
              </w:rPr>
            </w:pPr>
            <w:r w:rsidRPr="004C51AA">
              <w:rPr>
                <w:rFonts w:ascii="Arial" w:hAnsi="Arial" w:cs="Arial"/>
                <w:sz w:val="18"/>
                <w:szCs w:val="18"/>
              </w:rPr>
              <w:t xml:space="preserve">   6 398 496 865 597</w:t>
            </w:r>
          </w:p>
        </w:tc>
        <w:tc>
          <w:tcPr>
            <w:tcW w:w="2410" w:type="dxa"/>
            <w:noWrap/>
            <w:hideMark/>
          </w:tcPr>
          <w:p w14:paraId="6C9995AA" w14:textId="08A91E9E" w:rsidR="008D2191" w:rsidRPr="004C51AA" w:rsidRDefault="008D2191" w:rsidP="004C51AA">
            <w:pPr>
              <w:jc w:val="right"/>
              <w:rPr>
                <w:rFonts w:ascii="Arial" w:hAnsi="Arial" w:cs="Arial"/>
                <w:sz w:val="18"/>
                <w:szCs w:val="18"/>
              </w:rPr>
            </w:pPr>
            <w:r w:rsidRPr="004C51AA">
              <w:rPr>
                <w:rFonts w:ascii="Arial" w:hAnsi="Arial" w:cs="Arial"/>
                <w:sz w:val="18"/>
                <w:szCs w:val="18"/>
              </w:rPr>
              <w:t xml:space="preserve">   6 507 271 312 312</w:t>
            </w:r>
          </w:p>
        </w:tc>
      </w:tr>
      <w:tr w:rsidR="0035020B" w:rsidRPr="004C51AA" w14:paraId="79E6615B" w14:textId="77777777" w:rsidTr="008E15C2">
        <w:trPr>
          <w:trHeight w:val="300"/>
        </w:trPr>
        <w:tc>
          <w:tcPr>
            <w:tcW w:w="3286" w:type="dxa"/>
            <w:noWrap/>
            <w:hideMark/>
          </w:tcPr>
          <w:p w14:paraId="7E62BC03"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2CD3ACA3" w14:textId="77777777" w:rsidR="008D2191" w:rsidRPr="004C51AA" w:rsidRDefault="008D2191" w:rsidP="004C51AA">
            <w:pPr>
              <w:jc w:val="right"/>
              <w:rPr>
                <w:rFonts w:ascii="Arial" w:hAnsi="Arial" w:cs="Arial"/>
                <w:sz w:val="18"/>
                <w:szCs w:val="18"/>
              </w:rPr>
            </w:pPr>
          </w:p>
        </w:tc>
        <w:tc>
          <w:tcPr>
            <w:tcW w:w="2354" w:type="dxa"/>
            <w:noWrap/>
            <w:hideMark/>
          </w:tcPr>
          <w:p w14:paraId="4F92B245" w14:textId="77777777" w:rsidR="008D2191" w:rsidRPr="004C51AA" w:rsidRDefault="008D2191" w:rsidP="004C51AA">
            <w:pPr>
              <w:jc w:val="right"/>
              <w:rPr>
                <w:rFonts w:ascii="Arial" w:hAnsi="Arial" w:cs="Arial"/>
                <w:sz w:val="18"/>
                <w:szCs w:val="18"/>
              </w:rPr>
            </w:pPr>
          </w:p>
        </w:tc>
        <w:tc>
          <w:tcPr>
            <w:tcW w:w="2410" w:type="dxa"/>
            <w:noWrap/>
            <w:hideMark/>
          </w:tcPr>
          <w:p w14:paraId="49CDDEBA"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427430C8" w14:textId="77777777" w:rsidTr="008E15C2">
        <w:trPr>
          <w:trHeight w:val="300"/>
        </w:trPr>
        <w:tc>
          <w:tcPr>
            <w:tcW w:w="3286" w:type="dxa"/>
            <w:noWrap/>
            <w:hideMark/>
          </w:tcPr>
          <w:p w14:paraId="1631CD75" w14:textId="708AED15" w:rsidR="008D2191" w:rsidRPr="004C51AA" w:rsidRDefault="008D2191" w:rsidP="00820515">
            <w:pPr>
              <w:rPr>
                <w:rFonts w:ascii="Arial" w:hAnsi="Arial" w:cs="Arial"/>
                <w:sz w:val="18"/>
                <w:szCs w:val="18"/>
              </w:rPr>
            </w:pPr>
            <w:r w:rsidRPr="004C51AA">
              <w:rPr>
                <w:rFonts w:ascii="Arial" w:hAnsi="Arial" w:cs="Arial"/>
                <w:sz w:val="18"/>
                <w:szCs w:val="18"/>
              </w:rPr>
              <w:t>Main Budget Revenue</w:t>
            </w:r>
          </w:p>
        </w:tc>
        <w:tc>
          <w:tcPr>
            <w:tcW w:w="2607" w:type="dxa"/>
            <w:noWrap/>
            <w:hideMark/>
          </w:tcPr>
          <w:p w14:paraId="0FA3BC7A" w14:textId="4727E932" w:rsidR="008D2191" w:rsidRPr="004C51AA" w:rsidRDefault="008D2191" w:rsidP="004C51AA">
            <w:pPr>
              <w:jc w:val="right"/>
              <w:rPr>
                <w:rFonts w:ascii="Arial" w:hAnsi="Arial" w:cs="Arial"/>
                <w:sz w:val="18"/>
                <w:szCs w:val="18"/>
              </w:rPr>
            </w:pPr>
            <w:r w:rsidRPr="004C51AA">
              <w:rPr>
                <w:rFonts w:ascii="Arial" w:hAnsi="Arial" w:cs="Arial"/>
                <w:sz w:val="18"/>
                <w:szCs w:val="18"/>
              </w:rPr>
              <w:t xml:space="preserve">   1 770 600 000 000 </w:t>
            </w:r>
          </w:p>
        </w:tc>
        <w:tc>
          <w:tcPr>
            <w:tcW w:w="2354" w:type="dxa"/>
            <w:noWrap/>
            <w:hideMark/>
          </w:tcPr>
          <w:p w14:paraId="178245ED" w14:textId="15DB5EEE" w:rsidR="008D2191" w:rsidRPr="004C51AA" w:rsidRDefault="008D2191" w:rsidP="004C51AA">
            <w:pPr>
              <w:jc w:val="right"/>
              <w:rPr>
                <w:rFonts w:ascii="Arial" w:hAnsi="Arial" w:cs="Arial"/>
                <w:sz w:val="18"/>
                <w:szCs w:val="18"/>
              </w:rPr>
            </w:pPr>
            <w:r w:rsidRPr="004C51AA">
              <w:rPr>
                <w:rFonts w:ascii="Arial" w:hAnsi="Arial" w:cs="Arial"/>
                <w:sz w:val="18"/>
                <w:szCs w:val="18"/>
              </w:rPr>
              <w:t xml:space="preserve">   1 853 200 000 00</w:t>
            </w:r>
            <w:r w:rsidR="00CC6679">
              <w:rPr>
                <w:rFonts w:ascii="Arial" w:hAnsi="Arial" w:cs="Arial"/>
                <w:sz w:val="18"/>
                <w:szCs w:val="18"/>
              </w:rPr>
              <w:t>0</w:t>
            </w:r>
            <w:r w:rsidRPr="004C51AA">
              <w:rPr>
                <w:rFonts w:ascii="Arial" w:hAnsi="Arial" w:cs="Arial"/>
                <w:sz w:val="18"/>
                <w:szCs w:val="18"/>
              </w:rPr>
              <w:t xml:space="preserve"> </w:t>
            </w:r>
          </w:p>
        </w:tc>
        <w:tc>
          <w:tcPr>
            <w:tcW w:w="2410" w:type="dxa"/>
            <w:noWrap/>
            <w:hideMark/>
          </w:tcPr>
          <w:p w14:paraId="7BC15203" w14:textId="5221A308" w:rsidR="008D2191" w:rsidRPr="004C51AA" w:rsidRDefault="008D2191" w:rsidP="004C51AA">
            <w:pPr>
              <w:jc w:val="right"/>
              <w:rPr>
                <w:rFonts w:ascii="Arial" w:hAnsi="Arial" w:cs="Arial"/>
                <w:sz w:val="18"/>
                <w:szCs w:val="18"/>
              </w:rPr>
            </w:pPr>
            <w:r w:rsidRPr="004C51AA">
              <w:rPr>
                <w:rFonts w:ascii="Arial" w:hAnsi="Arial" w:cs="Arial"/>
                <w:sz w:val="18"/>
                <w:szCs w:val="18"/>
              </w:rPr>
              <w:t xml:space="preserve">   1 977 600 000 000 </w:t>
            </w:r>
          </w:p>
        </w:tc>
      </w:tr>
      <w:tr w:rsidR="0035020B" w:rsidRPr="004C51AA" w14:paraId="15CCF5D9" w14:textId="77777777" w:rsidTr="008E15C2">
        <w:trPr>
          <w:trHeight w:val="300"/>
        </w:trPr>
        <w:tc>
          <w:tcPr>
            <w:tcW w:w="3286" w:type="dxa"/>
            <w:noWrap/>
            <w:hideMark/>
          </w:tcPr>
          <w:p w14:paraId="7E802D83"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165EF806" w14:textId="77777777" w:rsidR="008D2191" w:rsidRPr="004C51AA" w:rsidRDefault="008D2191" w:rsidP="004C51AA">
            <w:pPr>
              <w:jc w:val="right"/>
              <w:rPr>
                <w:rFonts w:ascii="Arial" w:hAnsi="Arial" w:cs="Arial"/>
                <w:sz w:val="18"/>
                <w:szCs w:val="18"/>
              </w:rPr>
            </w:pPr>
          </w:p>
        </w:tc>
        <w:tc>
          <w:tcPr>
            <w:tcW w:w="2354" w:type="dxa"/>
            <w:noWrap/>
            <w:hideMark/>
          </w:tcPr>
          <w:p w14:paraId="545DB45A" w14:textId="77777777" w:rsidR="008D2191" w:rsidRPr="004C51AA" w:rsidRDefault="008D2191" w:rsidP="004C51AA">
            <w:pPr>
              <w:jc w:val="right"/>
              <w:rPr>
                <w:rFonts w:ascii="Arial" w:hAnsi="Arial" w:cs="Arial"/>
                <w:sz w:val="18"/>
                <w:szCs w:val="18"/>
              </w:rPr>
            </w:pPr>
          </w:p>
        </w:tc>
        <w:tc>
          <w:tcPr>
            <w:tcW w:w="2410" w:type="dxa"/>
            <w:noWrap/>
            <w:hideMark/>
          </w:tcPr>
          <w:p w14:paraId="29DCC70D"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67F0332E" w14:textId="77777777" w:rsidTr="008E15C2">
        <w:trPr>
          <w:trHeight w:val="300"/>
        </w:trPr>
        <w:tc>
          <w:tcPr>
            <w:tcW w:w="3286" w:type="dxa"/>
            <w:noWrap/>
            <w:hideMark/>
          </w:tcPr>
          <w:p w14:paraId="73003B2E" w14:textId="77777777" w:rsidR="008D2191" w:rsidRPr="004C51AA" w:rsidRDefault="008D2191" w:rsidP="00820515">
            <w:pPr>
              <w:rPr>
                <w:rFonts w:ascii="Arial" w:hAnsi="Arial" w:cs="Arial"/>
                <w:sz w:val="18"/>
                <w:szCs w:val="18"/>
              </w:rPr>
            </w:pPr>
            <w:r w:rsidRPr="004C51AA">
              <w:rPr>
                <w:rFonts w:ascii="Arial" w:hAnsi="Arial" w:cs="Arial"/>
                <w:sz w:val="18"/>
                <w:szCs w:val="18"/>
              </w:rPr>
              <w:t>Main Budget Expenditure</w:t>
            </w:r>
          </w:p>
        </w:tc>
        <w:tc>
          <w:tcPr>
            <w:tcW w:w="2607" w:type="dxa"/>
            <w:noWrap/>
            <w:hideMark/>
          </w:tcPr>
          <w:p w14:paraId="6AEB3A23" w14:textId="1D6294E2" w:rsidR="008D2191" w:rsidRPr="004C51AA" w:rsidRDefault="008D2191" w:rsidP="004C51AA">
            <w:pPr>
              <w:jc w:val="right"/>
              <w:rPr>
                <w:rFonts w:ascii="Arial" w:hAnsi="Arial" w:cs="Arial"/>
                <w:sz w:val="18"/>
                <w:szCs w:val="18"/>
              </w:rPr>
            </w:pPr>
            <w:r w:rsidRPr="004C51AA">
              <w:rPr>
                <w:rFonts w:ascii="Arial" w:hAnsi="Arial" w:cs="Arial"/>
                <w:sz w:val="18"/>
                <w:szCs w:val="18"/>
              </w:rPr>
              <w:t xml:space="preserve">   2 157 300 000 000 </w:t>
            </w:r>
          </w:p>
        </w:tc>
        <w:tc>
          <w:tcPr>
            <w:tcW w:w="2354" w:type="dxa"/>
            <w:noWrap/>
            <w:hideMark/>
          </w:tcPr>
          <w:p w14:paraId="5D22363E" w14:textId="677A1F21" w:rsidR="008D2191" w:rsidRPr="004C51AA" w:rsidRDefault="008D2191" w:rsidP="004C51AA">
            <w:pPr>
              <w:jc w:val="right"/>
              <w:rPr>
                <w:rFonts w:ascii="Arial" w:hAnsi="Arial" w:cs="Arial"/>
                <w:sz w:val="18"/>
                <w:szCs w:val="18"/>
              </w:rPr>
            </w:pPr>
            <w:r w:rsidRPr="004C51AA">
              <w:rPr>
                <w:rFonts w:ascii="Arial" w:hAnsi="Arial" w:cs="Arial"/>
                <w:sz w:val="18"/>
                <w:szCs w:val="18"/>
              </w:rPr>
              <w:t xml:space="preserve">   2 176 800 000 000 </w:t>
            </w:r>
          </w:p>
        </w:tc>
        <w:tc>
          <w:tcPr>
            <w:tcW w:w="2410" w:type="dxa"/>
            <w:noWrap/>
            <w:hideMark/>
          </w:tcPr>
          <w:p w14:paraId="0487C729" w14:textId="71C46184" w:rsidR="008D2191" w:rsidRPr="004C51AA" w:rsidRDefault="008D2191" w:rsidP="004C51AA">
            <w:pPr>
              <w:jc w:val="right"/>
              <w:rPr>
                <w:rFonts w:ascii="Arial" w:hAnsi="Arial" w:cs="Arial"/>
                <w:sz w:val="18"/>
                <w:szCs w:val="18"/>
              </w:rPr>
            </w:pPr>
            <w:r w:rsidRPr="004C51AA">
              <w:rPr>
                <w:rFonts w:ascii="Arial" w:hAnsi="Arial" w:cs="Arial"/>
                <w:sz w:val="18"/>
                <w:szCs w:val="18"/>
              </w:rPr>
              <w:t xml:space="preserve">   2 281 800 000 000 </w:t>
            </w:r>
          </w:p>
        </w:tc>
      </w:tr>
      <w:tr w:rsidR="0035020B" w:rsidRPr="004C51AA" w14:paraId="46819D36" w14:textId="77777777" w:rsidTr="008E15C2">
        <w:trPr>
          <w:trHeight w:val="300"/>
        </w:trPr>
        <w:tc>
          <w:tcPr>
            <w:tcW w:w="3286" w:type="dxa"/>
            <w:noWrap/>
            <w:hideMark/>
          </w:tcPr>
          <w:p w14:paraId="04E849E6"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5E67BC64" w14:textId="77777777" w:rsidR="008D2191" w:rsidRPr="004C51AA" w:rsidRDefault="008D2191" w:rsidP="004C51AA">
            <w:pPr>
              <w:jc w:val="right"/>
              <w:rPr>
                <w:rFonts w:ascii="Arial" w:hAnsi="Arial" w:cs="Arial"/>
                <w:sz w:val="18"/>
                <w:szCs w:val="18"/>
              </w:rPr>
            </w:pPr>
          </w:p>
        </w:tc>
        <w:tc>
          <w:tcPr>
            <w:tcW w:w="2354" w:type="dxa"/>
            <w:noWrap/>
            <w:hideMark/>
          </w:tcPr>
          <w:p w14:paraId="4CB33F3D" w14:textId="77777777" w:rsidR="008D2191" w:rsidRPr="004C51AA" w:rsidRDefault="008D2191" w:rsidP="004C51AA">
            <w:pPr>
              <w:jc w:val="right"/>
              <w:rPr>
                <w:rFonts w:ascii="Arial" w:hAnsi="Arial" w:cs="Arial"/>
                <w:sz w:val="18"/>
                <w:szCs w:val="18"/>
              </w:rPr>
            </w:pPr>
          </w:p>
        </w:tc>
        <w:tc>
          <w:tcPr>
            <w:tcW w:w="2410" w:type="dxa"/>
            <w:noWrap/>
            <w:hideMark/>
          </w:tcPr>
          <w:p w14:paraId="138DEB1E"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16B5BFFE" w14:textId="77777777" w:rsidTr="008E15C2">
        <w:trPr>
          <w:trHeight w:val="300"/>
        </w:trPr>
        <w:tc>
          <w:tcPr>
            <w:tcW w:w="3286" w:type="dxa"/>
            <w:noWrap/>
            <w:hideMark/>
          </w:tcPr>
          <w:p w14:paraId="75790D1C" w14:textId="77777777" w:rsidR="008D2191" w:rsidRPr="004C51AA" w:rsidRDefault="008D2191" w:rsidP="00820515">
            <w:pPr>
              <w:rPr>
                <w:rFonts w:ascii="Arial" w:hAnsi="Arial" w:cs="Arial"/>
                <w:sz w:val="18"/>
                <w:szCs w:val="18"/>
              </w:rPr>
            </w:pPr>
            <w:r w:rsidRPr="004C51AA">
              <w:rPr>
                <w:rFonts w:ascii="Arial" w:hAnsi="Arial" w:cs="Arial"/>
                <w:sz w:val="18"/>
                <w:szCs w:val="18"/>
              </w:rPr>
              <w:t>Debt Service Costs</w:t>
            </w:r>
          </w:p>
        </w:tc>
        <w:tc>
          <w:tcPr>
            <w:tcW w:w="2607" w:type="dxa"/>
            <w:noWrap/>
            <w:hideMark/>
          </w:tcPr>
          <w:p w14:paraId="3FF8EBF9" w14:textId="3477494E" w:rsidR="008D2191" w:rsidRPr="004C51AA" w:rsidRDefault="008D2191" w:rsidP="004C51AA">
            <w:pPr>
              <w:jc w:val="right"/>
              <w:rPr>
                <w:rFonts w:ascii="Arial" w:hAnsi="Arial" w:cs="Arial"/>
                <w:sz w:val="18"/>
                <w:szCs w:val="18"/>
              </w:rPr>
            </w:pPr>
            <w:r w:rsidRPr="004C51AA">
              <w:rPr>
                <w:rFonts w:ascii="Arial" w:hAnsi="Arial" w:cs="Arial"/>
                <w:sz w:val="18"/>
                <w:szCs w:val="18"/>
              </w:rPr>
              <w:t xml:space="preserve">       301 806 300 000 </w:t>
            </w:r>
          </w:p>
        </w:tc>
        <w:tc>
          <w:tcPr>
            <w:tcW w:w="2354" w:type="dxa"/>
            <w:noWrap/>
            <w:hideMark/>
          </w:tcPr>
          <w:p w14:paraId="4B819296" w14:textId="68301261" w:rsidR="008D2191" w:rsidRPr="004C51AA" w:rsidRDefault="008D2191" w:rsidP="004C51AA">
            <w:pPr>
              <w:jc w:val="right"/>
              <w:rPr>
                <w:rFonts w:ascii="Arial" w:hAnsi="Arial" w:cs="Arial"/>
                <w:sz w:val="18"/>
                <w:szCs w:val="18"/>
              </w:rPr>
            </w:pPr>
            <w:r w:rsidRPr="004C51AA">
              <w:rPr>
                <w:rFonts w:ascii="Arial" w:hAnsi="Arial" w:cs="Arial"/>
                <w:sz w:val="18"/>
                <w:szCs w:val="18"/>
              </w:rPr>
              <w:t xml:space="preserve">         33</w:t>
            </w:r>
            <w:r w:rsidR="00740561">
              <w:rPr>
                <w:rFonts w:ascii="Arial" w:hAnsi="Arial" w:cs="Arial"/>
                <w:sz w:val="18"/>
                <w:szCs w:val="18"/>
              </w:rPr>
              <w:t>5</w:t>
            </w:r>
            <w:r w:rsidRPr="004C51AA">
              <w:rPr>
                <w:rFonts w:ascii="Arial" w:hAnsi="Arial" w:cs="Arial"/>
                <w:sz w:val="18"/>
                <w:szCs w:val="18"/>
              </w:rPr>
              <w:t xml:space="preserve"> 497 900 000 </w:t>
            </w:r>
          </w:p>
        </w:tc>
        <w:tc>
          <w:tcPr>
            <w:tcW w:w="2410" w:type="dxa"/>
            <w:noWrap/>
            <w:hideMark/>
          </w:tcPr>
          <w:p w14:paraId="44E16A3F" w14:textId="56DE992A" w:rsidR="008D2191" w:rsidRPr="004C51AA" w:rsidRDefault="008D2191" w:rsidP="004C51AA">
            <w:pPr>
              <w:jc w:val="right"/>
              <w:rPr>
                <w:rFonts w:ascii="Arial" w:hAnsi="Arial" w:cs="Arial"/>
                <w:sz w:val="18"/>
                <w:szCs w:val="18"/>
              </w:rPr>
            </w:pPr>
            <w:r w:rsidRPr="004C51AA">
              <w:rPr>
                <w:rFonts w:ascii="Arial" w:hAnsi="Arial" w:cs="Arial"/>
                <w:sz w:val="18"/>
                <w:szCs w:val="18"/>
              </w:rPr>
              <w:t xml:space="preserve">       363 514 800 000 </w:t>
            </w:r>
          </w:p>
        </w:tc>
      </w:tr>
      <w:tr w:rsidR="0035020B" w:rsidRPr="004C51AA" w14:paraId="3286A71B" w14:textId="77777777" w:rsidTr="008E15C2">
        <w:trPr>
          <w:trHeight w:val="300"/>
        </w:trPr>
        <w:tc>
          <w:tcPr>
            <w:tcW w:w="3286" w:type="dxa"/>
            <w:noWrap/>
            <w:hideMark/>
          </w:tcPr>
          <w:p w14:paraId="5593233A"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08BB4B81" w14:textId="77777777" w:rsidR="008D2191" w:rsidRPr="004C51AA" w:rsidRDefault="008D2191" w:rsidP="004C51AA">
            <w:pPr>
              <w:jc w:val="right"/>
              <w:rPr>
                <w:rFonts w:ascii="Arial" w:hAnsi="Arial" w:cs="Arial"/>
                <w:sz w:val="18"/>
                <w:szCs w:val="18"/>
              </w:rPr>
            </w:pPr>
          </w:p>
        </w:tc>
        <w:tc>
          <w:tcPr>
            <w:tcW w:w="2354" w:type="dxa"/>
            <w:noWrap/>
            <w:hideMark/>
          </w:tcPr>
          <w:p w14:paraId="144C48C4" w14:textId="77777777" w:rsidR="008D2191" w:rsidRPr="004C51AA" w:rsidRDefault="008D2191" w:rsidP="004C51AA">
            <w:pPr>
              <w:jc w:val="right"/>
              <w:rPr>
                <w:rFonts w:ascii="Arial" w:hAnsi="Arial" w:cs="Arial"/>
                <w:sz w:val="18"/>
                <w:szCs w:val="18"/>
              </w:rPr>
            </w:pPr>
          </w:p>
        </w:tc>
        <w:tc>
          <w:tcPr>
            <w:tcW w:w="2410" w:type="dxa"/>
            <w:noWrap/>
            <w:hideMark/>
          </w:tcPr>
          <w:p w14:paraId="4D9043D2"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176C89DE" w14:textId="77777777" w:rsidTr="008E15C2">
        <w:trPr>
          <w:trHeight w:val="300"/>
        </w:trPr>
        <w:tc>
          <w:tcPr>
            <w:tcW w:w="3286" w:type="dxa"/>
            <w:noWrap/>
            <w:hideMark/>
          </w:tcPr>
          <w:p w14:paraId="72C58C26" w14:textId="77777777" w:rsidR="008D2191" w:rsidRPr="004C51AA" w:rsidRDefault="008D2191" w:rsidP="00820515">
            <w:pPr>
              <w:rPr>
                <w:rFonts w:ascii="Arial" w:hAnsi="Arial" w:cs="Arial"/>
                <w:b/>
                <w:bCs/>
                <w:sz w:val="18"/>
                <w:szCs w:val="18"/>
              </w:rPr>
            </w:pPr>
            <w:r w:rsidRPr="004C51AA">
              <w:rPr>
                <w:rFonts w:ascii="Arial" w:hAnsi="Arial" w:cs="Arial"/>
                <w:b/>
                <w:bCs/>
                <w:sz w:val="18"/>
                <w:szCs w:val="18"/>
              </w:rPr>
              <w:t xml:space="preserve">ANC Main Budget Balance </w:t>
            </w:r>
          </w:p>
        </w:tc>
        <w:tc>
          <w:tcPr>
            <w:tcW w:w="2607" w:type="dxa"/>
            <w:noWrap/>
            <w:hideMark/>
          </w:tcPr>
          <w:p w14:paraId="1F9E89BD" w14:textId="5C1125C0" w:rsidR="008D2191" w:rsidRPr="004C51AA" w:rsidRDefault="008D2191" w:rsidP="004C51AA">
            <w:pPr>
              <w:jc w:val="right"/>
              <w:rPr>
                <w:rFonts w:ascii="Arial" w:hAnsi="Arial" w:cs="Arial"/>
                <w:b/>
                <w:bCs/>
                <w:sz w:val="18"/>
                <w:szCs w:val="18"/>
              </w:rPr>
            </w:pPr>
            <w:r w:rsidRPr="004C51AA">
              <w:rPr>
                <w:rFonts w:ascii="Arial" w:hAnsi="Arial" w:cs="Arial"/>
                <w:b/>
                <w:bCs/>
                <w:sz w:val="18"/>
                <w:szCs w:val="18"/>
              </w:rPr>
              <w:t xml:space="preserve">- 386 700 000 000 </w:t>
            </w:r>
          </w:p>
        </w:tc>
        <w:tc>
          <w:tcPr>
            <w:tcW w:w="2354" w:type="dxa"/>
            <w:noWrap/>
            <w:hideMark/>
          </w:tcPr>
          <w:p w14:paraId="2016DBEC" w14:textId="4489051F" w:rsidR="008D2191" w:rsidRPr="004C51AA" w:rsidRDefault="008D2191" w:rsidP="004C51AA">
            <w:pPr>
              <w:jc w:val="right"/>
              <w:rPr>
                <w:rFonts w:ascii="Arial" w:hAnsi="Arial" w:cs="Arial"/>
                <w:b/>
                <w:bCs/>
                <w:sz w:val="18"/>
                <w:szCs w:val="18"/>
              </w:rPr>
            </w:pPr>
            <w:r w:rsidRPr="004C51AA">
              <w:rPr>
                <w:rFonts w:ascii="Arial" w:hAnsi="Arial" w:cs="Arial"/>
                <w:b/>
                <w:bCs/>
                <w:sz w:val="18"/>
                <w:szCs w:val="18"/>
              </w:rPr>
              <w:t xml:space="preserve">- 323 600 000 000 </w:t>
            </w:r>
          </w:p>
        </w:tc>
        <w:tc>
          <w:tcPr>
            <w:tcW w:w="2410" w:type="dxa"/>
            <w:noWrap/>
            <w:hideMark/>
          </w:tcPr>
          <w:p w14:paraId="27FFB26B" w14:textId="6D4157AC" w:rsidR="008D2191" w:rsidRPr="004C51AA" w:rsidRDefault="008D2191" w:rsidP="004C51AA">
            <w:pPr>
              <w:jc w:val="right"/>
              <w:rPr>
                <w:rFonts w:ascii="Arial" w:hAnsi="Arial" w:cs="Arial"/>
                <w:b/>
                <w:bCs/>
                <w:sz w:val="18"/>
                <w:szCs w:val="18"/>
              </w:rPr>
            </w:pPr>
            <w:r w:rsidRPr="004C51AA">
              <w:rPr>
                <w:rFonts w:ascii="Arial" w:hAnsi="Arial" w:cs="Arial"/>
                <w:b/>
                <w:bCs/>
                <w:sz w:val="18"/>
                <w:szCs w:val="18"/>
              </w:rPr>
              <w:t xml:space="preserve">- 304 200 000 000 </w:t>
            </w:r>
          </w:p>
        </w:tc>
      </w:tr>
      <w:tr w:rsidR="0035020B" w:rsidRPr="004C51AA" w14:paraId="5EB5F30D" w14:textId="77777777" w:rsidTr="008E15C2">
        <w:trPr>
          <w:trHeight w:val="300"/>
        </w:trPr>
        <w:tc>
          <w:tcPr>
            <w:tcW w:w="3286" w:type="dxa"/>
            <w:noWrap/>
            <w:hideMark/>
          </w:tcPr>
          <w:p w14:paraId="39F1B8B4"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0947ADEE" w14:textId="77777777" w:rsidR="008D2191" w:rsidRPr="004C51AA" w:rsidRDefault="008D2191" w:rsidP="004C51AA">
            <w:pPr>
              <w:jc w:val="right"/>
              <w:rPr>
                <w:rFonts w:ascii="Arial" w:hAnsi="Arial" w:cs="Arial"/>
                <w:sz w:val="18"/>
                <w:szCs w:val="18"/>
              </w:rPr>
            </w:pPr>
          </w:p>
        </w:tc>
        <w:tc>
          <w:tcPr>
            <w:tcW w:w="2354" w:type="dxa"/>
            <w:noWrap/>
            <w:hideMark/>
          </w:tcPr>
          <w:p w14:paraId="1DE84374" w14:textId="77777777" w:rsidR="008D2191" w:rsidRPr="004C51AA" w:rsidRDefault="008D2191" w:rsidP="004C51AA">
            <w:pPr>
              <w:jc w:val="right"/>
              <w:rPr>
                <w:rFonts w:ascii="Arial" w:hAnsi="Arial" w:cs="Arial"/>
                <w:sz w:val="18"/>
                <w:szCs w:val="18"/>
              </w:rPr>
            </w:pPr>
          </w:p>
        </w:tc>
        <w:tc>
          <w:tcPr>
            <w:tcW w:w="2410" w:type="dxa"/>
            <w:noWrap/>
            <w:hideMark/>
          </w:tcPr>
          <w:p w14:paraId="72707142"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562A8D40" w14:textId="77777777" w:rsidTr="008E15C2">
        <w:trPr>
          <w:trHeight w:val="300"/>
        </w:trPr>
        <w:tc>
          <w:tcPr>
            <w:tcW w:w="3286" w:type="dxa"/>
            <w:noWrap/>
            <w:hideMark/>
          </w:tcPr>
          <w:p w14:paraId="053A2027" w14:textId="77777777" w:rsidR="008D2191" w:rsidRPr="004C51AA" w:rsidRDefault="008D2191" w:rsidP="00820515">
            <w:pPr>
              <w:rPr>
                <w:rFonts w:ascii="Arial" w:hAnsi="Arial" w:cs="Arial"/>
                <w:sz w:val="18"/>
                <w:szCs w:val="18"/>
              </w:rPr>
            </w:pPr>
            <w:r w:rsidRPr="004C51AA">
              <w:rPr>
                <w:rFonts w:ascii="Arial" w:hAnsi="Arial" w:cs="Arial"/>
                <w:sz w:val="18"/>
                <w:szCs w:val="18"/>
              </w:rPr>
              <w:t xml:space="preserve">Tax Buoyancy </w:t>
            </w:r>
          </w:p>
        </w:tc>
        <w:tc>
          <w:tcPr>
            <w:tcW w:w="2607" w:type="dxa"/>
            <w:noWrap/>
            <w:hideMark/>
          </w:tcPr>
          <w:p w14:paraId="21F03742"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1,09</w:t>
            </w:r>
          </w:p>
        </w:tc>
        <w:tc>
          <w:tcPr>
            <w:tcW w:w="2354" w:type="dxa"/>
            <w:noWrap/>
            <w:hideMark/>
          </w:tcPr>
          <w:p w14:paraId="1784B692"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1,06</w:t>
            </w:r>
          </w:p>
        </w:tc>
        <w:tc>
          <w:tcPr>
            <w:tcW w:w="2410" w:type="dxa"/>
            <w:noWrap/>
            <w:hideMark/>
          </w:tcPr>
          <w:p w14:paraId="595CBF7A"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1,06</w:t>
            </w:r>
          </w:p>
        </w:tc>
      </w:tr>
      <w:tr w:rsidR="0035020B" w:rsidRPr="004C51AA" w14:paraId="528591DB" w14:textId="77777777" w:rsidTr="008E15C2">
        <w:trPr>
          <w:trHeight w:val="300"/>
        </w:trPr>
        <w:tc>
          <w:tcPr>
            <w:tcW w:w="3286" w:type="dxa"/>
            <w:noWrap/>
            <w:hideMark/>
          </w:tcPr>
          <w:p w14:paraId="3979B99A"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0DD20B43" w14:textId="77777777" w:rsidR="008D2191" w:rsidRPr="004C51AA" w:rsidRDefault="008D2191" w:rsidP="004C51AA">
            <w:pPr>
              <w:jc w:val="right"/>
              <w:rPr>
                <w:rFonts w:ascii="Arial" w:hAnsi="Arial" w:cs="Arial"/>
                <w:sz w:val="18"/>
                <w:szCs w:val="18"/>
              </w:rPr>
            </w:pPr>
          </w:p>
        </w:tc>
        <w:tc>
          <w:tcPr>
            <w:tcW w:w="2354" w:type="dxa"/>
            <w:noWrap/>
            <w:hideMark/>
          </w:tcPr>
          <w:p w14:paraId="4E06B34D" w14:textId="77777777" w:rsidR="008D2191" w:rsidRPr="004C51AA" w:rsidRDefault="008D2191" w:rsidP="004C51AA">
            <w:pPr>
              <w:jc w:val="right"/>
              <w:rPr>
                <w:rFonts w:ascii="Arial" w:hAnsi="Arial" w:cs="Arial"/>
                <w:sz w:val="18"/>
                <w:szCs w:val="18"/>
              </w:rPr>
            </w:pPr>
          </w:p>
        </w:tc>
        <w:tc>
          <w:tcPr>
            <w:tcW w:w="2410" w:type="dxa"/>
            <w:noWrap/>
            <w:hideMark/>
          </w:tcPr>
          <w:p w14:paraId="72196005"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06BD0F0F" w14:textId="77777777" w:rsidTr="008E15C2">
        <w:trPr>
          <w:trHeight w:val="300"/>
        </w:trPr>
        <w:tc>
          <w:tcPr>
            <w:tcW w:w="3286" w:type="dxa"/>
            <w:noWrap/>
            <w:hideMark/>
          </w:tcPr>
          <w:p w14:paraId="69396A14" w14:textId="77777777" w:rsidR="008D2191" w:rsidRPr="004C51AA" w:rsidRDefault="008D2191" w:rsidP="00820515">
            <w:pPr>
              <w:rPr>
                <w:rFonts w:ascii="Arial" w:hAnsi="Arial" w:cs="Arial"/>
                <w:sz w:val="18"/>
                <w:szCs w:val="18"/>
              </w:rPr>
            </w:pPr>
            <w:r w:rsidRPr="004C51AA">
              <w:rPr>
                <w:rFonts w:ascii="Arial" w:hAnsi="Arial" w:cs="Arial"/>
                <w:sz w:val="18"/>
                <w:szCs w:val="18"/>
              </w:rPr>
              <w:t>Headline Inflation (SARB)</w:t>
            </w:r>
          </w:p>
        </w:tc>
        <w:tc>
          <w:tcPr>
            <w:tcW w:w="2607" w:type="dxa"/>
            <w:noWrap/>
            <w:hideMark/>
          </w:tcPr>
          <w:p w14:paraId="5AA77434"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6,50%</w:t>
            </w:r>
          </w:p>
        </w:tc>
        <w:tc>
          <w:tcPr>
            <w:tcW w:w="2354" w:type="dxa"/>
            <w:noWrap/>
            <w:hideMark/>
          </w:tcPr>
          <w:p w14:paraId="6521E128"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5,30%</w:t>
            </w:r>
          </w:p>
        </w:tc>
        <w:tc>
          <w:tcPr>
            <w:tcW w:w="2410" w:type="dxa"/>
            <w:noWrap/>
            <w:hideMark/>
          </w:tcPr>
          <w:p w14:paraId="5FC79572"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4,60%</w:t>
            </w:r>
          </w:p>
        </w:tc>
      </w:tr>
      <w:tr w:rsidR="0035020B" w:rsidRPr="004C51AA" w14:paraId="791D8EAD" w14:textId="77777777" w:rsidTr="008E15C2">
        <w:trPr>
          <w:trHeight w:val="300"/>
        </w:trPr>
        <w:tc>
          <w:tcPr>
            <w:tcW w:w="3286" w:type="dxa"/>
            <w:noWrap/>
            <w:hideMark/>
          </w:tcPr>
          <w:p w14:paraId="1DF7615B"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365EAEA9" w14:textId="77777777" w:rsidR="008D2191" w:rsidRPr="004C51AA" w:rsidRDefault="008D2191" w:rsidP="004C51AA">
            <w:pPr>
              <w:jc w:val="right"/>
              <w:rPr>
                <w:rFonts w:ascii="Arial" w:hAnsi="Arial" w:cs="Arial"/>
                <w:sz w:val="18"/>
                <w:szCs w:val="18"/>
              </w:rPr>
            </w:pPr>
          </w:p>
        </w:tc>
        <w:tc>
          <w:tcPr>
            <w:tcW w:w="2354" w:type="dxa"/>
            <w:noWrap/>
            <w:hideMark/>
          </w:tcPr>
          <w:p w14:paraId="695F51A0" w14:textId="77777777" w:rsidR="008D2191" w:rsidRPr="004C51AA" w:rsidRDefault="008D2191" w:rsidP="004C51AA">
            <w:pPr>
              <w:jc w:val="right"/>
              <w:rPr>
                <w:rFonts w:ascii="Arial" w:hAnsi="Arial" w:cs="Arial"/>
                <w:sz w:val="18"/>
                <w:szCs w:val="18"/>
              </w:rPr>
            </w:pPr>
          </w:p>
        </w:tc>
        <w:tc>
          <w:tcPr>
            <w:tcW w:w="2410" w:type="dxa"/>
            <w:noWrap/>
            <w:hideMark/>
          </w:tcPr>
          <w:p w14:paraId="08CB44DD"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3291D27E" w14:textId="77777777" w:rsidTr="008E15C2">
        <w:trPr>
          <w:trHeight w:val="300"/>
        </w:trPr>
        <w:tc>
          <w:tcPr>
            <w:tcW w:w="3286" w:type="dxa"/>
            <w:noWrap/>
            <w:hideMark/>
          </w:tcPr>
          <w:p w14:paraId="7DF76C1E" w14:textId="77777777" w:rsidR="008D2191" w:rsidRPr="004C51AA" w:rsidRDefault="008D2191" w:rsidP="00820515">
            <w:pPr>
              <w:rPr>
                <w:rFonts w:ascii="Arial" w:hAnsi="Arial" w:cs="Arial"/>
                <w:sz w:val="18"/>
                <w:szCs w:val="18"/>
              </w:rPr>
            </w:pPr>
            <w:r w:rsidRPr="004C51AA">
              <w:rPr>
                <w:rFonts w:ascii="Arial" w:hAnsi="Arial" w:cs="Arial"/>
                <w:sz w:val="18"/>
                <w:szCs w:val="18"/>
              </w:rPr>
              <w:t>Food Price Inflation (SARB)</w:t>
            </w:r>
          </w:p>
        </w:tc>
        <w:tc>
          <w:tcPr>
            <w:tcW w:w="2607" w:type="dxa"/>
            <w:noWrap/>
            <w:hideMark/>
          </w:tcPr>
          <w:p w14:paraId="17FBC30C"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8,10%</w:t>
            </w:r>
          </w:p>
        </w:tc>
        <w:tc>
          <w:tcPr>
            <w:tcW w:w="2354" w:type="dxa"/>
            <w:noWrap/>
            <w:hideMark/>
          </w:tcPr>
          <w:p w14:paraId="3076587C"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5,60%</w:t>
            </w:r>
          </w:p>
        </w:tc>
        <w:tc>
          <w:tcPr>
            <w:tcW w:w="2410" w:type="dxa"/>
            <w:noWrap/>
            <w:hideMark/>
          </w:tcPr>
          <w:p w14:paraId="472D5E92"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4,20%</w:t>
            </w:r>
          </w:p>
        </w:tc>
      </w:tr>
      <w:tr w:rsidR="0035020B" w:rsidRPr="004C51AA" w14:paraId="7CCA3344" w14:textId="77777777" w:rsidTr="008E15C2">
        <w:trPr>
          <w:trHeight w:val="315"/>
        </w:trPr>
        <w:tc>
          <w:tcPr>
            <w:tcW w:w="3286" w:type="dxa"/>
            <w:noWrap/>
            <w:hideMark/>
          </w:tcPr>
          <w:p w14:paraId="1F45023E"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3573CF87" w14:textId="77777777" w:rsidR="008D2191" w:rsidRPr="004C51AA" w:rsidRDefault="008D2191" w:rsidP="004C51AA">
            <w:pPr>
              <w:jc w:val="right"/>
              <w:rPr>
                <w:rFonts w:ascii="Arial" w:hAnsi="Arial" w:cs="Arial"/>
                <w:sz w:val="18"/>
                <w:szCs w:val="18"/>
              </w:rPr>
            </w:pPr>
          </w:p>
        </w:tc>
        <w:tc>
          <w:tcPr>
            <w:tcW w:w="2354" w:type="dxa"/>
            <w:noWrap/>
            <w:hideMark/>
          </w:tcPr>
          <w:p w14:paraId="36ED4110" w14:textId="77777777" w:rsidR="008D2191" w:rsidRPr="004C51AA" w:rsidRDefault="008D2191" w:rsidP="004C51AA">
            <w:pPr>
              <w:jc w:val="right"/>
              <w:rPr>
                <w:rFonts w:ascii="Arial" w:hAnsi="Arial" w:cs="Arial"/>
                <w:sz w:val="18"/>
                <w:szCs w:val="18"/>
              </w:rPr>
            </w:pPr>
          </w:p>
        </w:tc>
        <w:tc>
          <w:tcPr>
            <w:tcW w:w="2410" w:type="dxa"/>
            <w:noWrap/>
            <w:hideMark/>
          </w:tcPr>
          <w:p w14:paraId="46E5E68B"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7A961308" w14:textId="77777777" w:rsidTr="008E15C2">
        <w:trPr>
          <w:trHeight w:val="315"/>
        </w:trPr>
        <w:tc>
          <w:tcPr>
            <w:tcW w:w="3286" w:type="dxa"/>
            <w:noWrap/>
            <w:hideMark/>
          </w:tcPr>
          <w:p w14:paraId="741DB08F" w14:textId="62543BA7" w:rsidR="008D2191" w:rsidRPr="004C51AA" w:rsidRDefault="008D2191" w:rsidP="00820515">
            <w:pPr>
              <w:jc w:val="center"/>
              <w:rPr>
                <w:rFonts w:ascii="Arial" w:hAnsi="Arial" w:cs="Arial"/>
                <w:b/>
                <w:bCs/>
                <w:sz w:val="18"/>
                <w:szCs w:val="18"/>
              </w:rPr>
            </w:pPr>
            <w:r w:rsidRPr="004C51AA">
              <w:rPr>
                <w:rFonts w:ascii="Arial" w:hAnsi="Arial" w:cs="Arial"/>
                <w:b/>
                <w:bCs/>
                <w:sz w:val="18"/>
                <w:szCs w:val="18"/>
              </w:rPr>
              <w:t>DA Alternative</w:t>
            </w:r>
          </w:p>
        </w:tc>
        <w:tc>
          <w:tcPr>
            <w:tcW w:w="2607" w:type="dxa"/>
            <w:noWrap/>
            <w:hideMark/>
          </w:tcPr>
          <w:p w14:paraId="320B5DB4" w14:textId="77777777" w:rsidR="008D2191" w:rsidRPr="004C51AA" w:rsidRDefault="008D2191" w:rsidP="004C51AA">
            <w:pPr>
              <w:jc w:val="right"/>
              <w:rPr>
                <w:rFonts w:ascii="Arial" w:hAnsi="Arial" w:cs="Arial"/>
                <w:b/>
                <w:bCs/>
                <w:sz w:val="18"/>
                <w:szCs w:val="18"/>
              </w:rPr>
            </w:pPr>
          </w:p>
        </w:tc>
        <w:tc>
          <w:tcPr>
            <w:tcW w:w="2354" w:type="dxa"/>
            <w:noWrap/>
            <w:hideMark/>
          </w:tcPr>
          <w:p w14:paraId="791690B0" w14:textId="77777777" w:rsidR="008D2191" w:rsidRPr="004C51AA" w:rsidRDefault="008D2191" w:rsidP="004C51AA">
            <w:pPr>
              <w:jc w:val="right"/>
              <w:rPr>
                <w:rFonts w:ascii="Arial" w:hAnsi="Arial" w:cs="Arial"/>
                <w:sz w:val="18"/>
                <w:szCs w:val="18"/>
              </w:rPr>
            </w:pPr>
          </w:p>
        </w:tc>
        <w:tc>
          <w:tcPr>
            <w:tcW w:w="2410" w:type="dxa"/>
            <w:noWrap/>
            <w:hideMark/>
          </w:tcPr>
          <w:p w14:paraId="71B9A905"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360054A9" w14:textId="77777777" w:rsidTr="008E15C2">
        <w:trPr>
          <w:trHeight w:val="300"/>
        </w:trPr>
        <w:tc>
          <w:tcPr>
            <w:tcW w:w="3286" w:type="dxa"/>
            <w:noWrap/>
            <w:hideMark/>
          </w:tcPr>
          <w:p w14:paraId="6A652199"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44C6E8FC" w14:textId="77777777" w:rsidR="008D2191" w:rsidRPr="004C51AA" w:rsidRDefault="008D2191" w:rsidP="004C51AA">
            <w:pPr>
              <w:jc w:val="right"/>
              <w:rPr>
                <w:rFonts w:ascii="Arial" w:hAnsi="Arial" w:cs="Arial"/>
                <w:sz w:val="18"/>
                <w:szCs w:val="18"/>
              </w:rPr>
            </w:pPr>
          </w:p>
        </w:tc>
        <w:tc>
          <w:tcPr>
            <w:tcW w:w="2354" w:type="dxa"/>
            <w:noWrap/>
            <w:hideMark/>
          </w:tcPr>
          <w:p w14:paraId="1DE4F5CC" w14:textId="77777777" w:rsidR="008D2191" w:rsidRPr="004C51AA" w:rsidRDefault="008D2191" w:rsidP="004C51AA">
            <w:pPr>
              <w:jc w:val="right"/>
              <w:rPr>
                <w:rFonts w:ascii="Arial" w:hAnsi="Arial" w:cs="Arial"/>
                <w:sz w:val="18"/>
                <w:szCs w:val="18"/>
              </w:rPr>
            </w:pPr>
          </w:p>
        </w:tc>
        <w:tc>
          <w:tcPr>
            <w:tcW w:w="2410" w:type="dxa"/>
            <w:noWrap/>
            <w:hideMark/>
          </w:tcPr>
          <w:p w14:paraId="73B65C50"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336C598F" w14:textId="77777777" w:rsidTr="008E15C2">
        <w:trPr>
          <w:trHeight w:val="300"/>
        </w:trPr>
        <w:tc>
          <w:tcPr>
            <w:tcW w:w="3286" w:type="dxa"/>
            <w:noWrap/>
            <w:hideMark/>
          </w:tcPr>
          <w:p w14:paraId="45BCAAF1" w14:textId="77777777" w:rsidR="008D2191" w:rsidRPr="004C51AA" w:rsidRDefault="008D2191" w:rsidP="00820515">
            <w:pPr>
              <w:rPr>
                <w:rFonts w:ascii="Arial" w:hAnsi="Arial" w:cs="Arial"/>
                <w:sz w:val="18"/>
                <w:szCs w:val="18"/>
              </w:rPr>
            </w:pPr>
            <w:r w:rsidRPr="004C51AA">
              <w:rPr>
                <w:rFonts w:ascii="Arial" w:hAnsi="Arial" w:cs="Arial"/>
                <w:sz w:val="18"/>
                <w:szCs w:val="18"/>
              </w:rPr>
              <w:t xml:space="preserve">DA GDP Growth (4,8%) </w:t>
            </w:r>
          </w:p>
        </w:tc>
        <w:tc>
          <w:tcPr>
            <w:tcW w:w="2607" w:type="dxa"/>
            <w:noWrap/>
            <w:hideMark/>
          </w:tcPr>
          <w:p w14:paraId="71F6A754" w14:textId="4C708540" w:rsidR="008D2191" w:rsidRPr="004C51AA" w:rsidRDefault="008D2191" w:rsidP="004C51AA">
            <w:pPr>
              <w:jc w:val="right"/>
              <w:rPr>
                <w:rFonts w:ascii="Arial" w:hAnsi="Arial" w:cs="Arial"/>
                <w:sz w:val="18"/>
                <w:szCs w:val="18"/>
              </w:rPr>
            </w:pPr>
            <w:r w:rsidRPr="004C51AA">
              <w:rPr>
                <w:rFonts w:ascii="Arial" w:hAnsi="Arial" w:cs="Arial"/>
                <w:sz w:val="18"/>
                <w:szCs w:val="18"/>
              </w:rPr>
              <w:t>6 489 737 120 108</w:t>
            </w:r>
          </w:p>
        </w:tc>
        <w:tc>
          <w:tcPr>
            <w:tcW w:w="2354" w:type="dxa"/>
            <w:noWrap/>
            <w:hideMark/>
          </w:tcPr>
          <w:p w14:paraId="1E7E422B" w14:textId="55A6F5A1" w:rsidR="008D2191" w:rsidRPr="004C51AA" w:rsidRDefault="008D2191" w:rsidP="004C51AA">
            <w:pPr>
              <w:jc w:val="right"/>
              <w:rPr>
                <w:rFonts w:ascii="Arial" w:hAnsi="Arial" w:cs="Arial"/>
                <w:sz w:val="18"/>
                <w:szCs w:val="18"/>
              </w:rPr>
            </w:pPr>
            <w:r w:rsidRPr="004C51AA">
              <w:rPr>
                <w:rFonts w:ascii="Arial" w:hAnsi="Arial" w:cs="Arial"/>
                <w:sz w:val="18"/>
                <w:szCs w:val="18"/>
              </w:rPr>
              <w:t>6 801 244 501 873</w:t>
            </w:r>
          </w:p>
        </w:tc>
        <w:tc>
          <w:tcPr>
            <w:tcW w:w="2410" w:type="dxa"/>
            <w:noWrap/>
            <w:hideMark/>
          </w:tcPr>
          <w:p w14:paraId="6CBD40D0" w14:textId="041340EA" w:rsidR="008D2191" w:rsidRPr="004C51AA" w:rsidRDefault="008D2191" w:rsidP="004C51AA">
            <w:pPr>
              <w:jc w:val="right"/>
              <w:rPr>
                <w:rFonts w:ascii="Arial" w:hAnsi="Arial" w:cs="Arial"/>
                <w:sz w:val="18"/>
                <w:szCs w:val="18"/>
              </w:rPr>
            </w:pPr>
            <w:r w:rsidRPr="004C51AA">
              <w:rPr>
                <w:rFonts w:ascii="Arial" w:hAnsi="Arial" w:cs="Arial"/>
                <w:sz w:val="18"/>
                <w:szCs w:val="18"/>
              </w:rPr>
              <w:t>7 127 704 237 963</w:t>
            </w:r>
          </w:p>
        </w:tc>
      </w:tr>
      <w:tr w:rsidR="0035020B" w:rsidRPr="004C51AA" w14:paraId="62062731" w14:textId="77777777" w:rsidTr="008E15C2">
        <w:trPr>
          <w:trHeight w:val="300"/>
        </w:trPr>
        <w:tc>
          <w:tcPr>
            <w:tcW w:w="3286" w:type="dxa"/>
            <w:noWrap/>
            <w:hideMark/>
          </w:tcPr>
          <w:p w14:paraId="5EB48F4D"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4FEA5A55" w14:textId="77777777" w:rsidR="008D2191" w:rsidRPr="004C51AA" w:rsidRDefault="008D2191" w:rsidP="004C51AA">
            <w:pPr>
              <w:jc w:val="right"/>
              <w:rPr>
                <w:rFonts w:ascii="Arial" w:hAnsi="Arial" w:cs="Arial"/>
                <w:sz w:val="18"/>
                <w:szCs w:val="18"/>
              </w:rPr>
            </w:pPr>
          </w:p>
        </w:tc>
        <w:tc>
          <w:tcPr>
            <w:tcW w:w="2354" w:type="dxa"/>
            <w:noWrap/>
            <w:hideMark/>
          </w:tcPr>
          <w:p w14:paraId="6C985527" w14:textId="77777777" w:rsidR="008D2191" w:rsidRPr="004C51AA" w:rsidRDefault="008D2191" w:rsidP="004C51AA">
            <w:pPr>
              <w:jc w:val="right"/>
              <w:rPr>
                <w:rFonts w:ascii="Arial" w:hAnsi="Arial" w:cs="Arial"/>
                <w:sz w:val="18"/>
                <w:szCs w:val="18"/>
              </w:rPr>
            </w:pPr>
          </w:p>
        </w:tc>
        <w:tc>
          <w:tcPr>
            <w:tcW w:w="2410" w:type="dxa"/>
            <w:noWrap/>
            <w:hideMark/>
          </w:tcPr>
          <w:p w14:paraId="2B07B70D"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41090DBC" w14:textId="77777777" w:rsidTr="008E15C2">
        <w:trPr>
          <w:trHeight w:val="300"/>
        </w:trPr>
        <w:tc>
          <w:tcPr>
            <w:tcW w:w="3286" w:type="dxa"/>
            <w:noWrap/>
            <w:hideMark/>
          </w:tcPr>
          <w:p w14:paraId="211A68DB" w14:textId="77777777" w:rsidR="008D2191" w:rsidRPr="004C51AA" w:rsidRDefault="008D2191" w:rsidP="00820515">
            <w:pPr>
              <w:rPr>
                <w:rFonts w:ascii="Arial" w:hAnsi="Arial" w:cs="Arial"/>
                <w:sz w:val="18"/>
                <w:szCs w:val="18"/>
              </w:rPr>
            </w:pPr>
            <w:r w:rsidRPr="004C51AA">
              <w:rPr>
                <w:rFonts w:ascii="Arial" w:hAnsi="Arial" w:cs="Arial"/>
                <w:sz w:val="18"/>
                <w:szCs w:val="18"/>
              </w:rPr>
              <w:t>Main Budget Revenue (DA Growth)</w:t>
            </w:r>
          </w:p>
        </w:tc>
        <w:tc>
          <w:tcPr>
            <w:tcW w:w="2607" w:type="dxa"/>
            <w:noWrap/>
            <w:hideMark/>
          </w:tcPr>
          <w:p w14:paraId="0D355C2C" w14:textId="27C73543" w:rsidR="008D2191" w:rsidRPr="004C51AA" w:rsidRDefault="008D2191" w:rsidP="004C51AA">
            <w:pPr>
              <w:jc w:val="right"/>
              <w:rPr>
                <w:rFonts w:ascii="Arial" w:hAnsi="Arial" w:cs="Arial"/>
                <w:sz w:val="18"/>
                <w:szCs w:val="18"/>
              </w:rPr>
            </w:pPr>
            <w:r w:rsidRPr="004C51AA">
              <w:rPr>
                <w:rFonts w:ascii="Arial" w:hAnsi="Arial" w:cs="Arial"/>
                <w:sz w:val="18"/>
                <w:szCs w:val="18"/>
              </w:rPr>
              <w:t>1 774 548 071 686</w:t>
            </w:r>
          </w:p>
        </w:tc>
        <w:tc>
          <w:tcPr>
            <w:tcW w:w="2354" w:type="dxa"/>
            <w:noWrap/>
            <w:hideMark/>
          </w:tcPr>
          <w:p w14:paraId="531DC9D1" w14:textId="2A1B0591" w:rsidR="008D2191" w:rsidRPr="004C51AA" w:rsidRDefault="008D2191" w:rsidP="004C51AA">
            <w:pPr>
              <w:jc w:val="right"/>
              <w:rPr>
                <w:rFonts w:ascii="Arial" w:hAnsi="Arial" w:cs="Arial"/>
                <w:sz w:val="18"/>
                <w:szCs w:val="18"/>
              </w:rPr>
            </w:pPr>
            <w:r w:rsidRPr="004C51AA">
              <w:rPr>
                <w:rFonts w:ascii="Arial" w:hAnsi="Arial" w:cs="Arial"/>
                <w:sz w:val="18"/>
                <w:szCs w:val="18"/>
              </w:rPr>
              <w:t>1 898 888 497 434</w:t>
            </w:r>
          </w:p>
        </w:tc>
        <w:tc>
          <w:tcPr>
            <w:tcW w:w="2410" w:type="dxa"/>
            <w:noWrap/>
            <w:hideMark/>
          </w:tcPr>
          <w:p w14:paraId="38D43BDB" w14:textId="392B186F" w:rsidR="008D2191" w:rsidRPr="004C51AA" w:rsidRDefault="008D2191" w:rsidP="004C51AA">
            <w:pPr>
              <w:jc w:val="right"/>
              <w:rPr>
                <w:rFonts w:ascii="Arial" w:hAnsi="Arial" w:cs="Arial"/>
                <w:sz w:val="18"/>
                <w:szCs w:val="18"/>
              </w:rPr>
            </w:pPr>
            <w:r w:rsidRPr="004C51AA">
              <w:rPr>
                <w:rFonts w:ascii="Arial" w:hAnsi="Arial" w:cs="Arial"/>
                <w:sz w:val="18"/>
                <w:szCs w:val="18"/>
              </w:rPr>
              <w:t>2 075 540 721 551</w:t>
            </w:r>
          </w:p>
        </w:tc>
      </w:tr>
      <w:tr w:rsidR="0035020B" w:rsidRPr="004C51AA" w14:paraId="4DFE3940" w14:textId="77777777" w:rsidTr="008E15C2">
        <w:trPr>
          <w:trHeight w:val="300"/>
        </w:trPr>
        <w:tc>
          <w:tcPr>
            <w:tcW w:w="3286" w:type="dxa"/>
            <w:noWrap/>
            <w:hideMark/>
          </w:tcPr>
          <w:p w14:paraId="1360C296"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0215AD71" w14:textId="77777777" w:rsidR="008D2191" w:rsidRPr="004C51AA" w:rsidRDefault="008D2191" w:rsidP="004C51AA">
            <w:pPr>
              <w:jc w:val="right"/>
              <w:rPr>
                <w:rFonts w:ascii="Arial" w:hAnsi="Arial" w:cs="Arial"/>
                <w:sz w:val="18"/>
                <w:szCs w:val="18"/>
              </w:rPr>
            </w:pPr>
          </w:p>
        </w:tc>
        <w:tc>
          <w:tcPr>
            <w:tcW w:w="2354" w:type="dxa"/>
            <w:noWrap/>
            <w:hideMark/>
          </w:tcPr>
          <w:p w14:paraId="14AB7D54" w14:textId="77777777" w:rsidR="008D2191" w:rsidRPr="004C51AA" w:rsidRDefault="008D2191" w:rsidP="004C51AA">
            <w:pPr>
              <w:jc w:val="right"/>
              <w:rPr>
                <w:rFonts w:ascii="Arial" w:hAnsi="Arial" w:cs="Arial"/>
                <w:sz w:val="18"/>
                <w:szCs w:val="18"/>
              </w:rPr>
            </w:pPr>
          </w:p>
        </w:tc>
        <w:tc>
          <w:tcPr>
            <w:tcW w:w="2410" w:type="dxa"/>
            <w:noWrap/>
            <w:hideMark/>
          </w:tcPr>
          <w:p w14:paraId="11F3B89E"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35BA6AEA" w14:textId="77777777" w:rsidTr="008E15C2">
        <w:trPr>
          <w:trHeight w:val="300"/>
        </w:trPr>
        <w:tc>
          <w:tcPr>
            <w:tcW w:w="3286" w:type="dxa"/>
            <w:noWrap/>
            <w:hideMark/>
          </w:tcPr>
          <w:p w14:paraId="2CE71A67" w14:textId="77777777" w:rsidR="008D2191" w:rsidRPr="004C51AA" w:rsidRDefault="008D2191" w:rsidP="00820515">
            <w:pPr>
              <w:rPr>
                <w:rFonts w:ascii="Arial" w:hAnsi="Arial" w:cs="Arial"/>
                <w:sz w:val="18"/>
                <w:szCs w:val="18"/>
              </w:rPr>
            </w:pPr>
            <w:r w:rsidRPr="004C51AA">
              <w:rPr>
                <w:rFonts w:ascii="Arial" w:hAnsi="Arial" w:cs="Arial"/>
                <w:sz w:val="18"/>
                <w:szCs w:val="18"/>
              </w:rPr>
              <w:t>Main Budget Expenditure (DA Growth)</w:t>
            </w:r>
          </w:p>
        </w:tc>
        <w:tc>
          <w:tcPr>
            <w:tcW w:w="2607" w:type="dxa"/>
            <w:noWrap/>
            <w:hideMark/>
          </w:tcPr>
          <w:p w14:paraId="38ECA634" w14:textId="1C494084" w:rsidR="008D2191" w:rsidRPr="004C51AA" w:rsidRDefault="008D2191" w:rsidP="004C51AA">
            <w:pPr>
              <w:jc w:val="right"/>
              <w:rPr>
                <w:rFonts w:ascii="Arial" w:hAnsi="Arial" w:cs="Arial"/>
                <w:sz w:val="18"/>
                <w:szCs w:val="18"/>
              </w:rPr>
            </w:pPr>
            <w:r w:rsidRPr="004C51AA">
              <w:rPr>
                <w:rFonts w:ascii="Arial" w:hAnsi="Arial" w:cs="Arial"/>
                <w:sz w:val="18"/>
                <w:szCs w:val="18"/>
              </w:rPr>
              <w:t xml:space="preserve">  2 160 875 880 000 </w:t>
            </w:r>
          </w:p>
        </w:tc>
        <w:tc>
          <w:tcPr>
            <w:tcW w:w="2354" w:type="dxa"/>
            <w:noWrap/>
            <w:hideMark/>
          </w:tcPr>
          <w:p w14:paraId="69B0E8FD" w14:textId="5EBF4BF1" w:rsidR="008D2191" w:rsidRPr="004C51AA" w:rsidRDefault="008D2191" w:rsidP="004C51AA">
            <w:pPr>
              <w:jc w:val="right"/>
              <w:rPr>
                <w:rFonts w:ascii="Arial" w:hAnsi="Arial" w:cs="Arial"/>
                <w:sz w:val="18"/>
                <w:szCs w:val="18"/>
              </w:rPr>
            </w:pPr>
            <w:r w:rsidRPr="004C51AA">
              <w:rPr>
                <w:rFonts w:ascii="Arial" w:hAnsi="Arial" w:cs="Arial"/>
                <w:sz w:val="18"/>
                <w:szCs w:val="18"/>
              </w:rPr>
              <w:t xml:space="preserve">  2 201 580 860 00</w:t>
            </w:r>
            <w:r w:rsidR="00CC6679">
              <w:rPr>
                <w:rFonts w:ascii="Arial" w:hAnsi="Arial" w:cs="Arial"/>
                <w:sz w:val="18"/>
                <w:szCs w:val="18"/>
              </w:rPr>
              <w:t>0</w:t>
            </w:r>
            <w:r w:rsidRPr="004C51AA">
              <w:rPr>
                <w:rFonts w:ascii="Arial" w:hAnsi="Arial" w:cs="Arial"/>
                <w:sz w:val="18"/>
                <w:szCs w:val="18"/>
              </w:rPr>
              <w:t xml:space="preserve"> </w:t>
            </w:r>
          </w:p>
        </w:tc>
        <w:tc>
          <w:tcPr>
            <w:tcW w:w="2410" w:type="dxa"/>
            <w:noWrap/>
            <w:hideMark/>
          </w:tcPr>
          <w:p w14:paraId="42E7126B" w14:textId="46E21D6B" w:rsidR="008D2191" w:rsidRPr="004C51AA" w:rsidRDefault="008D2191" w:rsidP="004C51AA">
            <w:pPr>
              <w:jc w:val="right"/>
              <w:rPr>
                <w:rFonts w:ascii="Arial" w:hAnsi="Arial" w:cs="Arial"/>
                <w:sz w:val="18"/>
                <w:szCs w:val="18"/>
              </w:rPr>
            </w:pPr>
            <w:r w:rsidRPr="004C51AA">
              <w:rPr>
                <w:rFonts w:ascii="Arial" w:hAnsi="Arial" w:cs="Arial"/>
                <w:sz w:val="18"/>
                <w:szCs w:val="18"/>
              </w:rPr>
              <w:t xml:space="preserve">   2 307 712 886 667 </w:t>
            </w:r>
          </w:p>
        </w:tc>
      </w:tr>
      <w:tr w:rsidR="0035020B" w:rsidRPr="004C51AA" w14:paraId="52E5FBBE" w14:textId="77777777" w:rsidTr="008E15C2">
        <w:trPr>
          <w:trHeight w:val="300"/>
        </w:trPr>
        <w:tc>
          <w:tcPr>
            <w:tcW w:w="3286" w:type="dxa"/>
            <w:noWrap/>
            <w:hideMark/>
          </w:tcPr>
          <w:p w14:paraId="4BA456E4"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7AA65865" w14:textId="77777777" w:rsidR="008D2191" w:rsidRPr="004C51AA" w:rsidRDefault="008D2191" w:rsidP="004C51AA">
            <w:pPr>
              <w:jc w:val="right"/>
              <w:rPr>
                <w:rFonts w:ascii="Arial" w:hAnsi="Arial" w:cs="Arial"/>
                <w:sz w:val="18"/>
                <w:szCs w:val="18"/>
              </w:rPr>
            </w:pPr>
          </w:p>
        </w:tc>
        <w:tc>
          <w:tcPr>
            <w:tcW w:w="2354" w:type="dxa"/>
            <w:noWrap/>
            <w:hideMark/>
          </w:tcPr>
          <w:p w14:paraId="5A9A064A" w14:textId="77777777" w:rsidR="008D2191" w:rsidRPr="004C51AA" w:rsidRDefault="008D2191" w:rsidP="004C51AA">
            <w:pPr>
              <w:jc w:val="right"/>
              <w:rPr>
                <w:rFonts w:ascii="Arial" w:hAnsi="Arial" w:cs="Arial"/>
                <w:sz w:val="18"/>
                <w:szCs w:val="18"/>
              </w:rPr>
            </w:pPr>
          </w:p>
        </w:tc>
        <w:tc>
          <w:tcPr>
            <w:tcW w:w="2410" w:type="dxa"/>
            <w:noWrap/>
            <w:hideMark/>
          </w:tcPr>
          <w:p w14:paraId="61F0186D"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548A4B56" w14:textId="77777777" w:rsidTr="008E15C2">
        <w:trPr>
          <w:trHeight w:val="300"/>
        </w:trPr>
        <w:tc>
          <w:tcPr>
            <w:tcW w:w="3286" w:type="dxa"/>
            <w:noWrap/>
            <w:hideMark/>
          </w:tcPr>
          <w:p w14:paraId="5BF78250" w14:textId="77777777" w:rsidR="008D2191" w:rsidRPr="004C51AA" w:rsidRDefault="008D2191" w:rsidP="00820515">
            <w:pPr>
              <w:rPr>
                <w:rFonts w:ascii="Arial" w:hAnsi="Arial" w:cs="Arial"/>
                <w:b/>
                <w:bCs/>
                <w:sz w:val="18"/>
                <w:szCs w:val="18"/>
              </w:rPr>
            </w:pPr>
            <w:r w:rsidRPr="004C51AA">
              <w:rPr>
                <w:rFonts w:ascii="Arial" w:hAnsi="Arial" w:cs="Arial"/>
                <w:b/>
                <w:bCs/>
                <w:sz w:val="18"/>
                <w:szCs w:val="18"/>
              </w:rPr>
              <w:t>DA Main Budget Balance</w:t>
            </w:r>
          </w:p>
        </w:tc>
        <w:tc>
          <w:tcPr>
            <w:tcW w:w="2607" w:type="dxa"/>
            <w:noWrap/>
            <w:hideMark/>
          </w:tcPr>
          <w:p w14:paraId="414F0C2E" w14:textId="2AEFFF71" w:rsidR="008D2191" w:rsidRPr="004C51AA" w:rsidRDefault="008D2191" w:rsidP="004C51AA">
            <w:pPr>
              <w:jc w:val="right"/>
              <w:rPr>
                <w:rFonts w:ascii="Arial" w:hAnsi="Arial" w:cs="Arial"/>
                <w:b/>
                <w:bCs/>
                <w:sz w:val="18"/>
                <w:szCs w:val="18"/>
              </w:rPr>
            </w:pPr>
            <w:r w:rsidRPr="004C51AA">
              <w:rPr>
                <w:rFonts w:ascii="Arial" w:hAnsi="Arial" w:cs="Arial"/>
                <w:b/>
                <w:bCs/>
                <w:sz w:val="18"/>
                <w:szCs w:val="18"/>
              </w:rPr>
              <w:t>- 386 327 808</w:t>
            </w:r>
            <w:r w:rsidR="00CC6679">
              <w:rPr>
                <w:rFonts w:ascii="Arial" w:hAnsi="Arial" w:cs="Arial"/>
                <w:b/>
                <w:bCs/>
                <w:sz w:val="18"/>
                <w:szCs w:val="18"/>
              </w:rPr>
              <w:t> </w:t>
            </w:r>
            <w:r w:rsidRPr="004C51AA">
              <w:rPr>
                <w:rFonts w:ascii="Arial" w:hAnsi="Arial" w:cs="Arial"/>
                <w:b/>
                <w:bCs/>
                <w:sz w:val="18"/>
                <w:szCs w:val="18"/>
              </w:rPr>
              <w:t>313</w:t>
            </w:r>
          </w:p>
        </w:tc>
        <w:tc>
          <w:tcPr>
            <w:tcW w:w="2354" w:type="dxa"/>
            <w:noWrap/>
            <w:hideMark/>
          </w:tcPr>
          <w:p w14:paraId="109327BE" w14:textId="2E3ACED1" w:rsidR="008D2191" w:rsidRPr="004C51AA" w:rsidRDefault="008D2191" w:rsidP="004C51AA">
            <w:pPr>
              <w:jc w:val="right"/>
              <w:rPr>
                <w:rFonts w:ascii="Arial" w:hAnsi="Arial" w:cs="Arial"/>
                <w:b/>
                <w:bCs/>
                <w:sz w:val="18"/>
                <w:szCs w:val="18"/>
              </w:rPr>
            </w:pPr>
            <w:r w:rsidRPr="004C51AA">
              <w:rPr>
                <w:rFonts w:ascii="Arial" w:hAnsi="Arial" w:cs="Arial"/>
                <w:b/>
                <w:bCs/>
                <w:sz w:val="18"/>
                <w:szCs w:val="18"/>
              </w:rPr>
              <w:t>- 302 692 362 565</w:t>
            </w:r>
          </w:p>
        </w:tc>
        <w:tc>
          <w:tcPr>
            <w:tcW w:w="2410" w:type="dxa"/>
            <w:noWrap/>
            <w:hideMark/>
          </w:tcPr>
          <w:p w14:paraId="78684E21" w14:textId="5D69F667" w:rsidR="008D2191" w:rsidRPr="004C51AA" w:rsidRDefault="008D2191" w:rsidP="004C51AA">
            <w:pPr>
              <w:jc w:val="right"/>
              <w:rPr>
                <w:rFonts w:ascii="Arial" w:hAnsi="Arial" w:cs="Arial"/>
                <w:b/>
                <w:bCs/>
                <w:sz w:val="18"/>
                <w:szCs w:val="18"/>
              </w:rPr>
            </w:pPr>
            <w:r w:rsidRPr="004C51AA">
              <w:rPr>
                <w:rFonts w:ascii="Arial" w:hAnsi="Arial" w:cs="Arial"/>
                <w:b/>
                <w:bCs/>
                <w:sz w:val="18"/>
                <w:szCs w:val="18"/>
              </w:rPr>
              <w:t>- 232 172 165 115</w:t>
            </w:r>
          </w:p>
        </w:tc>
      </w:tr>
      <w:tr w:rsidR="0035020B" w:rsidRPr="004C51AA" w14:paraId="181A97CF" w14:textId="77777777" w:rsidTr="008E15C2">
        <w:trPr>
          <w:trHeight w:val="300"/>
        </w:trPr>
        <w:tc>
          <w:tcPr>
            <w:tcW w:w="3286" w:type="dxa"/>
            <w:noWrap/>
            <w:hideMark/>
          </w:tcPr>
          <w:p w14:paraId="58790C1D"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36D2A7A0" w14:textId="77777777" w:rsidR="008D2191" w:rsidRPr="004C51AA" w:rsidRDefault="008D2191" w:rsidP="004C51AA">
            <w:pPr>
              <w:jc w:val="right"/>
              <w:rPr>
                <w:rFonts w:ascii="Arial" w:hAnsi="Arial" w:cs="Arial"/>
                <w:sz w:val="18"/>
                <w:szCs w:val="18"/>
              </w:rPr>
            </w:pPr>
          </w:p>
        </w:tc>
        <w:tc>
          <w:tcPr>
            <w:tcW w:w="2354" w:type="dxa"/>
            <w:noWrap/>
            <w:hideMark/>
          </w:tcPr>
          <w:p w14:paraId="4A757EF7" w14:textId="77777777" w:rsidR="008D2191" w:rsidRPr="004C51AA" w:rsidRDefault="008D2191" w:rsidP="004C51AA">
            <w:pPr>
              <w:jc w:val="right"/>
              <w:rPr>
                <w:rFonts w:ascii="Arial" w:hAnsi="Arial" w:cs="Arial"/>
                <w:sz w:val="18"/>
                <w:szCs w:val="18"/>
              </w:rPr>
            </w:pPr>
          </w:p>
        </w:tc>
        <w:tc>
          <w:tcPr>
            <w:tcW w:w="2410" w:type="dxa"/>
            <w:noWrap/>
            <w:hideMark/>
          </w:tcPr>
          <w:p w14:paraId="18949B68"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4241D0AB" w14:textId="77777777" w:rsidTr="008E15C2">
        <w:trPr>
          <w:trHeight w:val="300"/>
        </w:trPr>
        <w:tc>
          <w:tcPr>
            <w:tcW w:w="3286" w:type="dxa"/>
            <w:noWrap/>
            <w:hideMark/>
          </w:tcPr>
          <w:p w14:paraId="4F3EAE6C" w14:textId="77777777" w:rsidR="008D2191" w:rsidRPr="004C51AA" w:rsidRDefault="008D2191" w:rsidP="00820515">
            <w:pPr>
              <w:rPr>
                <w:rFonts w:ascii="Arial" w:hAnsi="Arial" w:cs="Arial"/>
                <w:b/>
                <w:bCs/>
                <w:sz w:val="18"/>
                <w:szCs w:val="18"/>
              </w:rPr>
            </w:pPr>
            <w:r w:rsidRPr="004C51AA">
              <w:rPr>
                <w:rFonts w:ascii="Arial" w:hAnsi="Arial" w:cs="Arial"/>
                <w:b/>
                <w:bCs/>
                <w:sz w:val="18"/>
                <w:szCs w:val="18"/>
              </w:rPr>
              <w:t>(Revenue Reduction)</w:t>
            </w:r>
          </w:p>
        </w:tc>
        <w:tc>
          <w:tcPr>
            <w:tcW w:w="2607" w:type="dxa"/>
            <w:noWrap/>
            <w:hideMark/>
          </w:tcPr>
          <w:p w14:paraId="32B6575A" w14:textId="77777777" w:rsidR="008D2191" w:rsidRPr="004C51AA" w:rsidRDefault="008D2191" w:rsidP="004C51AA">
            <w:pPr>
              <w:jc w:val="right"/>
              <w:rPr>
                <w:rFonts w:ascii="Arial" w:hAnsi="Arial" w:cs="Arial"/>
                <w:b/>
                <w:bCs/>
                <w:sz w:val="18"/>
                <w:szCs w:val="18"/>
              </w:rPr>
            </w:pPr>
          </w:p>
        </w:tc>
        <w:tc>
          <w:tcPr>
            <w:tcW w:w="2354" w:type="dxa"/>
            <w:noWrap/>
            <w:hideMark/>
          </w:tcPr>
          <w:p w14:paraId="1841E3AD" w14:textId="77777777" w:rsidR="008D2191" w:rsidRPr="004C51AA" w:rsidRDefault="008D2191" w:rsidP="004C51AA">
            <w:pPr>
              <w:jc w:val="right"/>
              <w:rPr>
                <w:rFonts w:ascii="Arial" w:hAnsi="Arial" w:cs="Arial"/>
                <w:sz w:val="18"/>
                <w:szCs w:val="18"/>
              </w:rPr>
            </w:pPr>
          </w:p>
        </w:tc>
        <w:tc>
          <w:tcPr>
            <w:tcW w:w="2410" w:type="dxa"/>
            <w:noWrap/>
            <w:hideMark/>
          </w:tcPr>
          <w:p w14:paraId="32C81E5E"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049E0187" w14:textId="77777777" w:rsidTr="008E15C2">
        <w:trPr>
          <w:trHeight w:val="300"/>
        </w:trPr>
        <w:tc>
          <w:tcPr>
            <w:tcW w:w="3286" w:type="dxa"/>
            <w:noWrap/>
            <w:hideMark/>
          </w:tcPr>
          <w:p w14:paraId="71EF05C3"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79BCFB47" w14:textId="77777777" w:rsidR="008D2191" w:rsidRPr="004C51AA" w:rsidRDefault="008D2191" w:rsidP="004C51AA">
            <w:pPr>
              <w:jc w:val="right"/>
              <w:rPr>
                <w:rFonts w:ascii="Arial" w:hAnsi="Arial" w:cs="Arial"/>
                <w:sz w:val="18"/>
                <w:szCs w:val="18"/>
              </w:rPr>
            </w:pPr>
          </w:p>
        </w:tc>
        <w:tc>
          <w:tcPr>
            <w:tcW w:w="2354" w:type="dxa"/>
            <w:noWrap/>
            <w:hideMark/>
          </w:tcPr>
          <w:p w14:paraId="6200D34B" w14:textId="77777777" w:rsidR="008D2191" w:rsidRPr="004C51AA" w:rsidRDefault="008D2191" w:rsidP="004C51AA">
            <w:pPr>
              <w:jc w:val="right"/>
              <w:rPr>
                <w:rFonts w:ascii="Arial" w:hAnsi="Arial" w:cs="Arial"/>
                <w:sz w:val="18"/>
                <w:szCs w:val="18"/>
              </w:rPr>
            </w:pPr>
          </w:p>
        </w:tc>
        <w:tc>
          <w:tcPr>
            <w:tcW w:w="2410" w:type="dxa"/>
            <w:noWrap/>
            <w:hideMark/>
          </w:tcPr>
          <w:p w14:paraId="54B6D1DE"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22F1A12C" w14:textId="77777777" w:rsidTr="008E15C2">
        <w:trPr>
          <w:trHeight w:val="300"/>
        </w:trPr>
        <w:tc>
          <w:tcPr>
            <w:tcW w:w="3286" w:type="dxa"/>
            <w:noWrap/>
            <w:hideMark/>
          </w:tcPr>
          <w:p w14:paraId="3CAD3D48" w14:textId="77777777" w:rsidR="008D2191" w:rsidRPr="004C51AA" w:rsidRDefault="008D2191" w:rsidP="00820515">
            <w:pPr>
              <w:rPr>
                <w:rFonts w:ascii="Arial" w:hAnsi="Arial" w:cs="Arial"/>
                <w:sz w:val="18"/>
                <w:szCs w:val="18"/>
              </w:rPr>
            </w:pPr>
            <w:r w:rsidRPr="004C51AA">
              <w:rPr>
                <w:rFonts w:ascii="Arial" w:hAnsi="Arial" w:cs="Arial"/>
                <w:sz w:val="18"/>
                <w:szCs w:val="18"/>
              </w:rPr>
              <w:t>Cut fuel levy over MTEF</w:t>
            </w:r>
          </w:p>
        </w:tc>
        <w:tc>
          <w:tcPr>
            <w:tcW w:w="2607" w:type="dxa"/>
            <w:noWrap/>
            <w:hideMark/>
          </w:tcPr>
          <w:p w14:paraId="5D14D78F" w14:textId="7A535436" w:rsidR="008D2191" w:rsidRPr="004C51AA" w:rsidRDefault="008D2191" w:rsidP="004C51AA">
            <w:pPr>
              <w:jc w:val="right"/>
              <w:rPr>
                <w:rFonts w:ascii="Arial" w:hAnsi="Arial" w:cs="Arial"/>
                <w:sz w:val="18"/>
                <w:szCs w:val="18"/>
              </w:rPr>
            </w:pPr>
            <w:r w:rsidRPr="004C51AA">
              <w:rPr>
                <w:rFonts w:ascii="Arial" w:hAnsi="Arial" w:cs="Arial"/>
                <w:sz w:val="18"/>
                <w:szCs w:val="18"/>
              </w:rPr>
              <w:t>44 941 918 500</w:t>
            </w:r>
          </w:p>
        </w:tc>
        <w:tc>
          <w:tcPr>
            <w:tcW w:w="2354" w:type="dxa"/>
            <w:noWrap/>
            <w:hideMark/>
          </w:tcPr>
          <w:p w14:paraId="039E7214" w14:textId="200BDC7A" w:rsidR="008D2191" w:rsidRPr="004C51AA" w:rsidRDefault="008D2191" w:rsidP="004C51AA">
            <w:pPr>
              <w:jc w:val="right"/>
              <w:rPr>
                <w:rFonts w:ascii="Arial" w:hAnsi="Arial" w:cs="Arial"/>
                <w:sz w:val="18"/>
                <w:szCs w:val="18"/>
              </w:rPr>
            </w:pPr>
            <w:r w:rsidRPr="004C51AA">
              <w:rPr>
                <w:rFonts w:ascii="Arial" w:hAnsi="Arial" w:cs="Arial"/>
                <w:sz w:val="18"/>
                <w:szCs w:val="18"/>
              </w:rPr>
              <w:t>69 459 511 500</w:t>
            </w:r>
          </w:p>
        </w:tc>
        <w:tc>
          <w:tcPr>
            <w:tcW w:w="2410" w:type="dxa"/>
            <w:noWrap/>
            <w:hideMark/>
          </w:tcPr>
          <w:p w14:paraId="708B16AB" w14:textId="4EB8B5A1" w:rsidR="008D2191" w:rsidRPr="004C51AA" w:rsidRDefault="008D2191" w:rsidP="004C51AA">
            <w:pPr>
              <w:jc w:val="right"/>
              <w:rPr>
                <w:rFonts w:ascii="Arial" w:hAnsi="Arial" w:cs="Arial"/>
                <w:sz w:val="18"/>
                <w:szCs w:val="18"/>
              </w:rPr>
            </w:pPr>
            <w:r w:rsidRPr="004C51AA">
              <w:rPr>
                <w:rFonts w:ascii="Arial" w:hAnsi="Arial" w:cs="Arial"/>
                <w:sz w:val="18"/>
                <w:szCs w:val="18"/>
              </w:rPr>
              <w:t>89 112 682 000</w:t>
            </w:r>
          </w:p>
        </w:tc>
      </w:tr>
      <w:tr w:rsidR="0035020B" w:rsidRPr="004C51AA" w14:paraId="1C8941A9" w14:textId="77777777" w:rsidTr="008E15C2">
        <w:trPr>
          <w:trHeight w:val="300"/>
        </w:trPr>
        <w:tc>
          <w:tcPr>
            <w:tcW w:w="3286" w:type="dxa"/>
            <w:noWrap/>
            <w:hideMark/>
          </w:tcPr>
          <w:p w14:paraId="2AC0E2FD"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44D0BAC2" w14:textId="77777777" w:rsidR="008D2191" w:rsidRPr="004C51AA" w:rsidRDefault="008D2191" w:rsidP="004C51AA">
            <w:pPr>
              <w:jc w:val="right"/>
              <w:rPr>
                <w:rFonts w:ascii="Arial" w:hAnsi="Arial" w:cs="Arial"/>
                <w:sz w:val="18"/>
                <w:szCs w:val="18"/>
              </w:rPr>
            </w:pPr>
          </w:p>
        </w:tc>
        <w:tc>
          <w:tcPr>
            <w:tcW w:w="2354" w:type="dxa"/>
            <w:noWrap/>
            <w:hideMark/>
          </w:tcPr>
          <w:p w14:paraId="16997CD2" w14:textId="77777777" w:rsidR="008D2191" w:rsidRPr="004C51AA" w:rsidRDefault="008D2191" w:rsidP="004C51AA">
            <w:pPr>
              <w:jc w:val="right"/>
              <w:rPr>
                <w:rFonts w:ascii="Arial" w:hAnsi="Arial" w:cs="Arial"/>
                <w:sz w:val="18"/>
                <w:szCs w:val="18"/>
              </w:rPr>
            </w:pPr>
          </w:p>
        </w:tc>
        <w:tc>
          <w:tcPr>
            <w:tcW w:w="2410" w:type="dxa"/>
            <w:noWrap/>
            <w:hideMark/>
          </w:tcPr>
          <w:p w14:paraId="19563DB0"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56C90696" w14:textId="77777777" w:rsidTr="008E15C2">
        <w:trPr>
          <w:trHeight w:val="300"/>
        </w:trPr>
        <w:tc>
          <w:tcPr>
            <w:tcW w:w="3286" w:type="dxa"/>
            <w:noWrap/>
            <w:hideMark/>
          </w:tcPr>
          <w:p w14:paraId="58A8B720" w14:textId="77777777" w:rsidR="008D2191" w:rsidRPr="004C51AA" w:rsidRDefault="008D2191" w:rsidP="00820515">
            <w:pPr>
              <w:rPr>
                <w:rFonts w:ascii="Arial" w:hAnsi="Arial" w:cs="Arial"/>
                <w:sz w:val="18"/>
                <w:szCs w:val="18"/>
              </w:rPr>
            </w:pPr>
            <w:r w:rsidRPr="004C51AA">
              <w:rPr>
                <w:rFonts w:ascii="Arial" w:hAnsi="Arial" w:cs="Arial"/>
                <w:sz w:val="18"/>
                <w:szCs w:val="18"/>
              </w:rPr>
              <w:t xml:space="preserve">Expand Zero Rat Vat Basket </w:t>
            </w:r>
          </w:p>
        </w:tc>
        <w:tc>
          <w:tcPr>
            <w:tcW w:w="2607" w:type="dxa"/>
            <w:noWrap/>
            <w:hideMark/>
          </w:tcPr>
          <w:p w14:paraId="5B863272" w14:textId="200E32C6" w:rsidR="008D2191" w:rsidRPr="004C51AA" w:rsidRDefault="008D2191" w:rsidP="004C51AA">
            <w:pPr>
              <w:jc w:val="right"/>
              <w:rPr>
                <w:rFonts w:ascii="Arial" w:hAnsi="Arial" w:cs="Arial"/>
                <w:sz w:val="18"/>
                <w:szCs w:val="18"/>
              </w:rPr>
            </w:pPr>
            <w:r w:rsidRPr="004C51AA">
              <w:rPr>
                <w:rFonts w:ascii="Arial" w:hAnsi="Arial" w:cs="Arial"/>
                <w:sz w:val="18"/>
                <w:szCs w:val="18"/>
              </w:rPr>
              <w:t>1 500 000 000</w:t>
            </w:r>
          </w:p>
        </w:tc>
        <w:tc>
          <w:tcPr>
            <w:tcW w:w="2354" w:type="dxa"/>
            <w:noWrap/>
            <w:hideMark/>
          </w:tcPr>
          <w:p w14:paraId="464A27DD" w14:textId="1BB06F4C" w:rsidR="008D2191" w:rsidRPr="004C51AA" w:rsidRDefault="008D2191" w:rsidP="004C51AA">
            <w:pPr>
              <w:jc w:val="right"/>
              <w:rPr>
                <w:rFonts w:ascii="Arial" w:hAnsi="Arial" w:cs="Arial"/>
                <w:sz w:val="18"/>
                <w:szCs w:val="18"/>
              </w:rPr>
            </w:pPr>
            <w:r w:rsidRPr="004C51AA">
              <w:rPr>
                <w:rFonts w:ascii="Arial" w:hAnsi="Arial" w:cs="Arial"/>
                <w:sz w:val="18"/>
                <w:szCs w:val="18"/>
              </w:rPr>
              <w:t>1 500 000 000</w:t>
            </w:r>
          </w:p>
        </w:tc>
        <w:tc>
          <w:tcPr>
            <w:tcW w:w="2410" w:type="dxa"/>
            <w:noWrap/>
            <w:hideMark/>
          </w:tcPr>
          <w:p w14:paraId="25E82B12" w14:textId="1959B7DC" w:rsidR="008D2191" w:rsidRPr="004C51AA" w:rsidRDefault="008D2191" w:rsidP="004C51AA">
            <w:pPr>
              <w:jc w:val="right"/>
              <w:rPr>
                <w:rFonts w:ascii="Arial" w:hAnsi="Arial" w:cs="Arial"/>
                <w:sz w:val="18"/>
                <w:szCs w:val="18"/>
              </w:rPr>
            </w:pPr>
            <w:r w:rsidRPr="004C51AA">
              <w:rPr>
                <w:rFonts w:ascii="Arial" w:hAnsi="Arial" w:cs="Arial"/>
                <w:sz w:val="18"/>
                <w:szCs w:val="18"/>
              </w:rPr>
              <w:t>1 500 000 000</w:t>
            </w:r>
          </w:p>
        </w:tc>
      </w:tr>
      <w:tr w:rsidR="0035020B" w:rsidRPr="004C51AA" w14:paraId="0ECCDA87" w14:textId="77777777" w:rsidTr="008E15C2">
        <w:trPr>
          <w:trHeight w:val="300"/>
        </w:trPr>
        <w:tc>
          <w:tcPr>
            <w:tcW w:w="3286" w:type="dxa"/>
            <w:noWrap/>
            <w:hideMark/>
          </w:tcPr>
          <w:p w14:paraId="790E9968"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402020B8" w14:textId="77777777" w:rsidR="008D2191" w:rsidRPr="004C51AA" w:rsidRDefault="008D2191" w:rsidP="004C51AA">
            <w:pPr>
              <w:jc w:val="right"/>
              <w:rPr>
                <w:rFonts w:ascii="Arial" w:hAnsi="Arial" w:cs="Arial"/>
                <w:sz w:val="18"/>
                <w:szCs w:val="18"/>
              </w:rPr>
            </w:pPr>
          </w:p>
        </w:tc>
        <w:tc>
          <w:tcPr>
            <w:tcW w:w="2354" w:type="dxa"/>
            <w:noWrap/>
            <w:hideMark/>
          </w:tcPr>
          <w:p w14:paraId="2B940916" w14:textId="77777777" w:rsidR="008D2191" w:rsidRPr="004C51AA" w:rsidRDefault="008D2191" w:rsidP="004C51AA">
            <w:pPr>
              <w:jc w:val="right"/>
              <w:rPr>
                <w:rFonts w:ascii="Arial" w:hAnsi="Arial" w:cs="Arial"/>
                <w:sz w:val="18"/>
                <w:szCs w:val="18"/>
              </w:rPr>
            </w:pPr>
          </w:p>
        </w:tc>
        <w:tc>
          <w:tcPr>
            <w:tcW w:w="2410" w:type="dxa"/>
            <w:noWrap/>
            <w:hideMark/>
          </w:tcPr>
          <w:p w14:paraId="692D6D74"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688ECC73" w14:textId="77777777" w:rsidTr="008E15C2">
        <w:trPr>
          <w:trHeight w:val="300"/>
        </w:trPr>
        <w:tc>
          <w:tcPr>
            <w:tcW w:w="3286" w:type="dxa"/>
            <w:noWrap/>
            <w:hideMark/>
          </w:tcPr>
          <w:p w14:paraId="63E82949"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5C84B0DB" w14:textId="77777777" w:rsidR="008D2191" w:rsidRPr="004C51AA" w:rsidRDefault="008D2191" w:rsidP="004C51AA">
            <w:pPr>
              <w:jc w:val="right"/>
              <w:rPr>
                <w:rFonts w:ascii="Arial" w:hAnsi="Arial" w:cs="Arial"/>
                <w:sz w:val="18"/>
                <w:szCs w:val="18"/>
              </w:rPr>
            </w:pPr>
          </w:p>
        </w:tc>
        <w:tc>
          <w:tcPr>
            <w:tcW w:w="2354" w:type="dxa"/>
            <w:noWrap/>
            <w:hideMark/>
          </w:tcPr>
          <w:p w14:paraId="6981AB81" w14:textId="77777777" w:rsidR="008D2191" w:rsidRPr="004C51AA" w:rsidRDefault="008D2191" w:rsidP="004C51AA">
            <w:pPr>
              <w:jc w:val="right"/>
              <w:rPr>
                <w:rFonts w:ascii="Arial" w:hAnsi="Arial" w:cs="Arial"/>
                <w:sz w:val="18"/>
                <w:szCs w:val="18"/>
              </w:rPr>
            </w:pPr>
          </w:p>
        </w:tc>
        <w:tc>
          <w:tcPr>
            <w:tcW w:w="2410" w:type="dxa"/>
            <w:noWrap/>
            <w:hideMark/>
          </w:tcPr>
          <w:p w14:paraId="2E9D6DEC"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13B0A13E" w14:textId="77777777" w:rsidTr="008E15C2">
        <w:trPr>
          <w:trHeight w:val="300"/>
        </w:trPr>
        <w:tc>
          <w:tcPr>
            <w:tcW w:w="3286" w:type="dxa"/>
            <w:noWrap/>
            <w:hideMark/>
          </w:tcPr>
          <w:p w14:paraId="49465030" w14:textId="3CFB0967" w:rsidR="008D2191" w:rsidRPr="004C51AA" w:rsidRDefault="008D2191" w:rsidP="00820515">
            <w:pPr>
              <w:rPr>
                <w:rFonts w:ascii="Arial" w:hAnsi="Arial" w:cs="Arial"/>
                <w:b/>
                <w:bCs/>
                <w:sz w:val="18"/>
                <w:szCs w:val="18"/>
              </w:rPr>
            </w:pPr>
            <w:r w:rsidRPr="004C51AA">
              <w:rPr>
                <w:rFonts w:ascii="Arial" w:hAnsi="Arial" w:cs="Arial"/>
                <w:b/>
                <w:bCs/>
                <w:sz w:val="18"/>
                <w:szCs w:val="18"/>
              </w:rPr>
              <w:t>DA Additional Expenditure</w:t>
            </w:r>
          </w:p>
        </w:tc>
        <w:tc>
          <w:tcPr>
            <w:tcW w:w="2607" w:type="dxa"/>
            <w:noWrap/>
            <w:hideMark/>
          </w:tcPr>
          <w:p w14:paraId="297F174F" w14:textId="77777777" w:rsidR="008D2191" w:rsidRPr="004C51AA" w:rsidRDefault="008D2191" w:rsidP="004C51AA">
            <w:pPr>
              <w:jc w:val="right"/>
              <w:rPr>
                <w:rFonts w:ascii="Arial" w:hAnsi="Arial" w:cs="Arial"/>
                <w:b/>
                <w:bCs/>
                <w:sz w:val="18"/>
                <w:szCs w:val="18"/>
              </w:rPr>
            </w:pPr>
          </w:p>
        </w:tc>
        <w:tc>
          <w:tcPr>
            <w:tcW w:w="2354" w:type="dxa"/>
            <w:noWrap/>
            <w:hideMark/>
          </w:tcPr>
          <w:p w14:paraId="0BADEB53" w14:textId="77777777" w:rsidR="008D2191" w:rsidRPr="004C51AA" w:rsidRDefault="008D2191" w:rsidP="004C51AA">
            <w:pPr>
              <w:jc w:val="right"/>
              <w:rPr>
                <w:rFonts w:ascii="Arial" w:hAnsi="Arial" w:cs="Arial"/>
                <w:sz w:val="18"/>
                <w:szCs w:val="18"/>
              </w:rPr>
            </w:pPr>
          </w:p>
        </w:tc>
        <w:tc>
          <w:tcPr>
            <w:tcW w:w="2410" w:type="dxa"/>
            <w:noWrap/>
            <w:hideMark/>
          </w:tcPr>
          <w:p w14:paraId="2A29766B"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3DB8AAAF" w14:textId="77777777" w:rsidTr="008E15C2">
        <w:trPr>
          <w:trHeight w:val="300"/>
        </w:trPr>
        <w:tc>
          <w:tcPr>
            <w:tcW w:w="3286" w:type="dxa"/>
            <w:noWrap/>
            <w:hideMark/>
          </w:tcPr>
          <w:p w14:paraId="7A268E1A"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34267FB2" w14:textId="77777777" w:rsidR="008D2191" w:rsidRPr="004C51AA" w:rsidRDefault="008D2191" w:rsidP="004C51AA">
            <w:pPr>
              <w:jc w:val="right"/>
              <w:rPr>
                <w:rFonts w:ascii="Arial" w:hAnsi="Arial" w:cs="Arial"/>
                <w:sz w:val="18"/>
                <w:szCs w:val="18"/>
              </w:rPr>
            </w:pPr>
          </w:p>
        </w:tc>
        <w:tc>
          <w:tcPr>
            <w:tcW w:w="2354" w:type="dxa"/>
            <w:noWrap/>
            <w:hideMark/>
          </w:tcPr>
          <w:p w14:paraId="43FD9A11" w14:textId="77777777" w:rsidR="008D2191" w:rsidRPr="004C51AA" w:rsidRDefault="008D2191" w:rsidP="004C51AA">
            <w:pPr>
              <w:jc w:val="right"/>
              <w:rPr>
                <w:rFonts w:ascii="Arial" w:hAnsi="Arial" w:cs="Arial"/>
                <w:sz w:val="18"/>
                <w:szCs w:val="18"/>
              </w:rPr>
            </w:pPr>
          </w:p>
        </w:tc>
        <w:tc>
          <w:tcPr>
            <w:tcW w:w="2410" w:type="dxa"/>
            <w:noWrap/>
            <w:hideMark/>
          </w:tcPr>
          <w:p w14:paraId="730C662C"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1B1E68FB" w14:textId="77777777" w:rsidTr="008E15C2">
        <w:trPr>
          <w:trHeight w:val="300"/>
        </w:trPr>
        <w:tc>
          <w:tcPr>
            <w:tcW w:w="3286" w:type="dxa"/>
            <w:noWrap/>
            <w:hideMark/>
          </w:tcPr>
          <w:p w14:paraId="7078C96C" w14:textId="77777777" w:rsidR="008D2191" w:rsidRPr="004C51AA" w:rsidRDefault="008D2191" w:rsidP="00820515">
            <w:pPr>
              <w:rPr>
                <w:rFonts w:ascii="Arial" w:hAnsi="Arial" w:cs="Arial"/>
                <w:sz w:val="18"/>
                <w:szCs w:val="18"/>
              </w:rPr>
            </w:pPr>
            <w:r w:rsidRPr="004C51AA">
              <w:rPr>
                <w:rFonts w:ascii="Arial" w:hAnsi="Arial" w:cs="Arial"/>
                <w:sz w:val="18"/>
                <w:szCs w:val="18"/>
              </w:rPr>
              <w:t>Conditional Basic Income Grant</w:t>
            </w:r>
          </w:p>
        </w:tc>
        <w:tc>
          <w:tcPr>
            <w:tcW w:w="2607" w:type="dxa"/>
            <w:noWrap/>
            <w:hideMark/>
          </w:tcPr>
          <w:p w14:paraId="64D429DF" w14:textId="760241B5" w:rsidR="008D2191" w:rsidRPr="004C51AA" w:rsidRDefault="008D2191" w:rsidP="004C51AA">
            <w:pPr>
              <w:jc w:val="right"/>
              <w:rPr>
                <w:rFonts w:ascii="Arial" w:hAnsi="Arial" w:cs="Arial"/>
                <w:sz w:val="18"/>
                <w:szCs w:val="18"/>
              </w:rPr>
            </w:pPr>
            <w:r w:rsidRPr="004C51AA">
              <w:rPr>
                <w:rFonts w:ascii="Arial" w:hAnsi="Arial" w:cs="Arial"/>
                <w:sz w:val="18"/>
                <w:szCs w:val="18"/>
              </w:rPr>
              <w:t>232 000 000 000</w:t>
            </w:r>
          </w:p>
        </w:tc>
        <w:tc>
          <w:tcPr>
            <w:tcW w:w="2354" w:type="dxa"/>
            <w:noWrap/>
            <w:hideMark/>
          </w:tcPr>
          <w:p w14:paraId="3A5730BF" w14:textId="64B83607" w:rsidR="008D2191" w:rsidRPr="004C51AA" w:rsidRDefault="008D2191" w:rsidP="004C51AA">
            <w:pPr>
              <w:jc w:val="right"/>
              <w:rPr>
                <w:rFonts w:ascii="Arial" w:hAnsi="Arial" w:cs="Arial"/>
                <w:sz w:val="18"/>
                <w:szCs w:val="18"/>
              </w:rPr>
            </w:pPr>
            <w:r w:rsidRPr="004C51AA">
              <w:rPr>
                <w:rFonts w:ascii="Arial" w:hAnsi="Arial" w:cs="Arial"/>
                <w:sz w:val="18"/>
                <w:szCs w:val="18"/>
              </w:rPr>
              <w:t>232 000 000 000</w:t>
            </w:r>
          </w:p>
        </w:tc>
        <w:tc>
          <w:tcPr>
            <w:tcW w:w="2410" w:type="dxa"/>
            <w:noWrap/>
            <w:hideMark/>
          </w:tcPr>
          <w:p w14:paraId="3DF5D5F8" w14:textId="4781446E" w:rsidR="008D2191" w:rsidRPr="004C51AA" w:rsidRDefault="008D2191" w:rsidP="004C51AA">
            <w:pPr>
              <w:jc w:val="right"/>
              <w:rPr>
                <w:rFonts w:ascii="Arial" w:hAnsi="Arial" w:cs="Arial"/>
                <w:sz w:val="18"/>
                <w:szCs w:val="18"/>
              </w:rPr>
            </w:pPr>
            <w:r w:rsidRPr="004C51AA">
              <w:rPr>
                <w:rFonts w:ascii="Arial" w:hAnsi="Arial" w:cs="Arial"/>
                <w:sz w:val="18"/>
                <w:szCs w:val="18"/>
              </w:rPr>
              <w:t>232 000 000 000</w:t>
            </w:r>
          </w:p>
        </w:tc>
      </w:tr>
      <w:tr w:rsidR="0035020B" w:rsidRPr="004C51AA" w14:paraId="47E9711B" w14:textId="77777777" w:rsidTr="008E15C2">
        <w:trPr>
          <w:trHeight w:val="300"/>
        </w:trPr>
        <w:tc>
          <w:tcPr>
            <w:tcW w:w="3286" w:type="dxa"/>
            <w:noWrap/>
            <w:hideMark/>
          </w:tcPr>
          <w:p w14:paraId="78AE2F82" w14:textId="77777777" w:rsidR="008D2191" w:rsidRPr="004C51AA" w:rsidRDefault="008D2191" w:rsidP="00820515">
            <w:pPr>
              <w:rPr>
                <w:rFonts w:ascii="Arial" w:hAnsi="Arial" w:cs="Arial"/>
                <w:sz w:val="18"/>
                <w:szCs w:val="18"/>
              </w:rPr>
            </w:pPr>
            <w:r w:rsidRPr="004C51AA">
              <w:rPr>
                <w:rFonts w:ascii="Arial" w:hAnsi="Arial" w:cs="Arial"/>
                <w:sz w:val="18"/>
                <w:szCs w:val="18"/>
              </w:rPr>
              <w:lastRenderedPageBreak/>
              <w:t> </w:t>
            </w:r>
          </w:p>
        </w:tc>
        <w:tc>
          <w:tcPr>
            <w:tcW w:w="2607" w:type="dxa"/>
            <w:noWrap/>
            <w:hideMark/>
          </w:tcPr>
          <w:p w14:paraId="4D61959F" w14:textId="77777777" w:rsidR="008D2191" w:rsidRPr="004C51AA" w:rsidRDefault="008D2191" w:rsidP="004C51AA">
            <w:pPr>
              <w:jc w:val="right"/>
              <w:rPr>
                <w:rFonts w:ascii="Arial" w:hAnsi="Arial" w:cs="Arial"/>
                <w:sz w:val="18"/>
                <w:szCs w:val="18"/>
              </w:rPr>
            </w:pPr>
          </w:p>
        </w:tc>
        <w:tc>
          <w:tcPr>
            <w:tcW w:w="2354" w:type="dxa"/>
            <w:noWrap/>
            <w:hideMark/>
          </w:tcPr>
          <w:p w14:paraId="33B5D74B" w14:textId="77777777" w:rsidR="008D2191" w:rsidRPr="004C51AA" w:rsidRDefault="008D2191" w:rsidP="004C51AA">
            <w:pPr>
              <w:jc w:val="right"/>
              <w:rPr>
                <w:rFonts w:ascii="Arial" w:hAnsi="Arial" w:cs="Arial"/>
                <w:sz w:val="18"/>
                <w:szCs w:val="18"/>
              </w:rPr>
            </w:pPr>
          </w:p>
        </w:tc>
        <w:tc>
          <w:tcPr>
            <w:tcW w:w="2410" w:type="dxa"/>
            <w:noWrap/>
            <w:hideMark/>
          </w:tcPr>
          <w:p w14:paraId="62112C9D"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2CB6011F" w14:textId="77777777" w:rsidTr="008E15C2">
        <w:trPr>
          <w:trHeight w:val="300"/>
        </w:trPr>
        <w:tc>
          <w:tcPr>
            <w:tcW w:w="3286" w:type="dxa"/>
            <w:noWrap/>
            <w:hideMark/>
          </w:tcPr>
          <w:p w14:paraId="61A4EC21" w14:textId="77777777" w:rsidR="008D2191" w:rsidRPr="004C51AA" w:rsidRDefault="008D2191" w:rsidP="00820515">
            <w:pPr>
              <w:rPr>
                <w:rFonts w:ascii="Arial" w:hAnsi="Arial" w:cs="Arial"/>
                <w:sz w:val="18"/>
                <w:szCs w:val="18"/>
              </w:rPr>
            </w:pPr>
            <w:r w:rsidRPr="004C51AA">
              <w:rPr>
                <w:rFonts w:ascii="Arial" w:hAnsi="Arial" w:cs="Arial"/>
                <w:sz w:val="18"/>
                <w:szCs w:val="18"/>
              </w:rPr>
              <w:t>Increase NPA Budget over MTEF</w:t>
            </w:r>
          </w:p>
        </w:tc>
        <w:tc>
          <w:tcPr>
            <w:tcW w:w="2607" w:type="dxa"/>
            <w:noWrap/>
            <w:hideMark/>
          </w:tcPr>
          <w:p w14:paraId="0F03873B" w14:textId="5DAE1E1D" w:rsidR="008D2191" w:rsidRPr="004C51AA" w:rsidRDefault="008D2191" w:rsidP="004C51AA">
            <w:pPr>
              <w:jc w:val="right"/>
              <w:rPr>
                <w:rFonts w:ascii="Arial" w:hAnsi="Arial" w:cs="Arial"/>
                <w:sz w:val="18"/>
                <w:szCs w:val="18"/>
              </w:rPr>
            </w:pPr>
            <w:r w:rsidRPr="004C51AA">
              <w:rPr>
                <w:rFonts w:ascii="Arial" w:hAnsi="Arial" w:cs="Arial"/>
                <w:sz w:val="18"/>
                <w:szCs w:val="18"/>
              </w:rPr>
              <w:t>4 446 200 000</w:t>
            </w:r>
          </w:p>
        </w:tc>
        <w:tc>
          <w:tcPr>
            <w:tcW w:w="2354" w:type="dxa"/>
            <w:noWrap/>
            <w:hideMark/>
          </w:tcPr>
          <w:p w14:paraId="1567A2BA" w14:textId="21405319" w:rsidR="008D2191" w:rsidRPr="004C51AA" w:rsidRDefault="008D2191" w:rsidP="004C51AA">
            <w:pPr>
              <w:jc w:val="right"/>
              <w:rPr>
                <w:rFonts w:ascii="Arial" w:hAnsi="Arial" w:cs="Arial"/>
                <w:sz w:val="18"/>
                <w:szCs w:val="18"/>
              </w:rPr>
            </w:pPr>
            <w:r w:rsidRPr="004C51AA">
              <w:rPr>
                <w:rFonts w:ascii="Arial" w:hAnsi="Arial" w:cs="Arial"/>
                <w:sz w:val="18"/>
                <w:szCs w:val="18"/>
              </w:rPr>
              <w:t>5 609 500 000</w:t>
            </w:r>
          </w:p>
        </w:tc>
        <w:tc>
          <w:tcPr>
            <w:tcW w:w="2410" w:type="dxa"/>
            <w:noWrap/>
            <w:hideMark/>
          </w:tcPr>
          <w:p w14:paraId="43DA6734" w14:textId="6F4C9E81" w:rsidR="008D2191" w:rsidRPr="004C51AA" w:rsidRDefault="008D2191" w:rsidP="004C51AA">
            <w:pPr>
              <w:jc w:val="right"/>
              <w:rPr>
                <w:rFonts w:ascii="Arial" w:hAnsi="Arial" w:cs="Arial"/>
                <w:sz w:val="18"/>
                <w:szCs w:val="18"/>
              </w:rPr>
            </w:pPr>
            <w:r w:rsidRPr="004C51AA">
              <w:rPr>
                <w:rFonts w:ascii="Arial" w:hAnsi="Arial" w:cs="Arial"/>
                <w:sz w:val="18"/>
                <w:szCs w:val="18"/>
              </w:rPr>
              <w:t>6 815 400 000</w:t>
            </w:r>
          </w:p>
        </w:tc>
      </w:tr>
      <w:tr w:rsidR="0035020B" w:rsidRPr="004C51AA" w14:paraId="7BAAE25E" w14:textId="77777777" w:rsidTr="008E15C2">
        <w:trPr>
          <w:trHeight w:val="300"/>
        </w:trPr>
        <w:tc>
          <w:tcPr>
            <w:tcW w:w="3286" w:type="dxa"/>
            <w:noWrap/>
            <w:hideMark/>
          </w:tcPr>
          <w:p w14:paraId="5D55C3D3"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3E464D05" w14:textId="77777777" w:rsidR="008D2191" w:rsidRPr="004C51AA" w:rsidRDefault="008D2191" w:rsidP="004C51AA">
            <w:pPr>
              <w:jc w:val="right"/>
              <w:rPr>
                <w:rFonts w:ascii="Arial" w:hAnsi="Arial" w:cs="Arial"/>
                <w:sz w:val="18"/>
                <w:szCs w:val="18"/>
              </w:rPr>
            </w:pPr>
          </w:p>
        </w:tc>
        <w:tc>
          <w:tcPr>
            <w:tcW w:w="2354" w:type="dxa"/>
            <w:noWrap/>
            <w:hideMark/>
          </w:tcPr>
          <w:p w14:paraId="2A058AB7" w14:textId="77777777" w:rsidR="008D2191" w:rsidRPr="004C51AA" w:rsidRDefault="008D2191" w:rsidP="004C51AA">
            <w:pPr>
              <w:jc w:val="right"/>
              <w:rPr>
                <w:rFonts w:ascii="Arial" w:hAnsi="Arial" w:cs="Arial"/>
                <w:sz w:val="18"/>
                <w:szCs w:val="18"/>
              </w:rPr>
            </w:pPr>
          </w:p>
        </w:tc>
        <w:tc>
          <w:tcPr>
            <w:tcW w:w="2410" w:type="dxa"/>
            <w:noWrap/>
            <w:hideMark/>
          </w:tcPr>
          <w:p w14:paraId="31A7566A"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32C213BF" w14:textId="77777777" w:rsidTr="008E15C2">
        <w:trPr>
          <w:trHeight w:val="300"/>
        </w:trPr>
        <w:tc>
          <w:tcPr>
            <w:tcW w:w="3286" w:type="dxa"/>
            <w:noWrap/>
            <w:hideMark/>
          </w:tcPr>
          <w:p w14:paraId="65BB2363"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574974E4" w14:textId="77777777" w:rsidR="008D2191" w:rsidRPr="004C51AA" w:rsidRDefault="008D2191" w:rsidP="004C51AA">
            <w:pPr>
              <w:jc w:val="right"/>
              <w:rPr>
                <w:rFonts w:ascii="Arial" w:hAnsi="Arial" w:cs="Arial"/>
                <w:sz w:val="18"/>
                <w:szCs w:val="18"/>
              </w:rPr>
            </w:pPr>
          </w:p>
        </w:tc>
        <w:tc>
          <w:tcPr>
            <w:tcW w:w="2354" w:type="dxa"/>
            <w:noWrap/>
            <w:hideMark/>
          </w:tcPr>
          <w:p w14:paraId="38162632" w14:textId="77777777" w:rsidR="008D2191" w:rsidRPr="004C51AA" w:rsidRDefault="008D2191" w:rsidP="004C51AA">
            <w:pPr>
              <w:jc w:val="right"/>
              <w:rPr>
                <w:rFonts w:ascii="Arial" w:hAnsi="Arial" w:cs="Arial"/>
                <w:sz w:val="18"/>
                <w:szCs w:val="18"/>
              </w:rPr>
            </w:pPr>
          </w:p>
        </w:tc>
        <w:tc>
          <w:tcPr>
            <w:tcW w:w="2410" w:type="dxa"/>
            <w:noWrap/>
            <w:hideMark/>
          </w:tcPr>
          <w:p w14:paraId="44C41E10"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55CBDDD7" w14:textId="77777777" w:rsidTr="008E15C2">
        <w:trPr>
          <w:trHeight w:val="300"/>
        </w:trPr>
        <w:tc>
          <w:tcPr>
            <w:tcW w:w="3286" w:type="dxa"/>
            <w:noWrap/>
            <w:hideMark/>
          </w:tcPr>
          <w:p w14:paraId="5A7C483F" w14:textId="77777777" w:rsidR="008D2191" w:rsidRPr="004C51AA" w:rsidRDefault="008D2191" w:rsidP="00820515">
            <w:pPr>
              <w:rPr>
                <w:rFonts w:ascii="Arial" w:hAnsi="Arial" w:cs="Arial"/>
                <w:b/>
                <w:bCs/>
                <w:sz w:val="18"/>
                <w:szCs w:val="18"/>
              </w:rPr>
            </w:pPr>
            <w:r w:rsidRPr="004C51AA">
              <w:rPr>
                <w:rFonts w:ascii="Arial" w:hAnsi="Arial" w:cs="Arial"/>
                <w:b/>
                <w:bCs/>
                <w:sz w:val="18"/>
                <w:szCs w:val="18"/>
              </w:rPr>
              <w:t>DA Expenditure Cuts</w:t>
            </w:r>
          </w:p>
        </w:tc>
        <w:tc>
          <w:tcPr>
            <w:tcW w:w="2607" w:type="dxa"/>
            <w:noWrap/>
            <w:hideMark/>
          </w:tcPr>
          <w:p w14:paraId="6CEC8C20" w14:textId="77777777" w:rsidR="008D2191" w:rsidRPr="004C51AA" w:rsidRDefault="008D2191" w:rsidP="004C51AA">
            <w:pPr>
              <w:jc w:val="right"/>
              <w:rPr>
                <w:rFonts w:ascii="Arial" w:hAnsi="Arial" w:cs="Arial"/>
                <w:b/>
                <w:bCs/>
                <w:sz w:val="18"/>
                <w:szCs w:val="18"/>
              </w:rPr>
            </w:pPr>
          </w:p>
        </w:tc>
        <w:tc>
          <w:tcPr>
            <w:tcW w:w="2354" w:type="dxa"/>
            <w:noWrap/>
            <w:hideMark/>
          </w:tcPr>
          <w:p w14:paraId="49C88F67" w14:textId="77777777" w:rsidR="008D2191" w:rsidRPr="004C51AA" w:rsidRDefault="008D2191" w:rsidP="004C51AA">
            <w:pPr>
              <w:jc w:val="right"/>
              <w:rPr>
                <w:rFonts w:ascii="Arial" w:hAnsi="Arial" w:cs="Arial"/>
                <w:sz w:val="18"/>
                <w:szCs w:val="18"/>
              </w:rPr>
            </w:pPr>
          </w:p>
        </w:tc>
        <w:tc>
          <w:tcPr>
            <w:tcW w:w="2410" w:type="dxa"/>
            <w:noWrap/>
            <w:hideMark/>
          </w:tcPr>
          <w:p w14:paraId="2E322BED"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1651C8E5" w14:textId="77777777" w:rsidTr="008E15C2">
        <w:trPr>
          <w:trHeight w:val="300"/>
        </w:trPr>
        <w:tc>
          <w:tcPr>
            <w:tcW w:w="3286" w:type="dxa"/>
            <w:noWrap/>
            <w:hideMark/>
          </w:tcPr>
          <w:p w14:paraId="090A6A89"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6FA5ACAF" w14:textId="77777777" w:rsidR="008D2191" w:rsidRPr="004C51AA" w:rsidRDefault="008D2191" w:rsidP="004C51AA">
            <w:pPr>
              <w:jc w:val="right"/>
              <w:rPr>
                <w:rFonts w:ascii="Arial" w:hAnsi="Arial" w:cs="Arial"/>
                <w:sz w:val="18"/>
                <w:szCs w:val="18"/>
              </w:rPr>
            </w:pPr>
          </w:p>
        </w:tc>
        <w:tc>
          <w:tcPr>
            <w:tcW w:w="2354" w:type="dxa"/>
            <w:noWrap/>
            <w:hideMark/>
          </w:tcPr>
          <w:p w14:paraId="41DEA824" w14:textId="77777777" w:rsidR="008D2191" w:rsidRPr="004C51AA" w:rsidRDefault="008D2191" w:rsidP="004C51AA">
            <w:pPr>
              <w:jc w:val="right"/>
              <w:rPr>
                <w:rFonts w:ascii="Arial" w:hAnsi="Arial" w:cs="Arial"/>
                <w:sz w:val="18"/>
                <w:szCs w:val="18"/>
              </w:rPr>
            </w:pPr>
          </w:p>
        </w:tc>
        <w:tc>
          <w:tcPr>
            <w:tcW w:w="2410" w:type="dxa"/>
            <w:noWrap/>
            <w:hideMark/>
          </w:tcPr>
          <w:p w14:paraId="15E53C94"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5BBD4FE1" w14:textId="77777777" w:rsidTr="008E15C2">
        <w:trPr>
          <w:trHeight w:val="300"/>
        </w:trPr>
        <w:tc>
          <w:tcPr>
            <w:tcW w:w="3286" w:type="dxa"/>
            <w:noWrap/>
            <w:hideMark/>
          </w:tcPr>
          <w:p w14:paraId="5A94A579" w14:textId="444D46A8" w:rsidR="008D2191" w:rsidRPr="004C51AA" w:rsidRDefault="008D2191" w:rsidP="00820515">
            <w:pPr>
              <w:rPr>
                <w:rFonts w:ascii="Arial" w:hAnsi="Arial" w:cs="Arial"/>
                <w:sz w:val="18"/>
                <w:szCs w:val="18"/>
              </w:rPr>
            </w:pPr>
            <w:r w:rsidRPr="004C51AA">
              <w:rPr>
                <w:rFonts w:ascii="Arial" w:hAnsi="Arial" w:cs="Arial"/>
                <w:sz w:val="18"/>
                <w:szCs w:val="18"/>
              </w:rPr>
              <w:t xml:space="preserve">Lost </w:t>
            </w:r>
            <w:r w:rsidR="00EE4D79">
              <w:rPr>
                <w:rFonts w:ascii="Arial" w:hAnsi="Arial" w:cs="Arial"/>
                <w:sz w:val="18"/>
                <w:szCs w:val="18"/>
              </w:rPr>
              <w:t xml:space="preserve">due </w:t>
            </w:r>
            <w:r w:rsidRPr="004C51AA">
              <w:rPr>
                <w:rFonts w:ascii="Arial" w:hAnsi="Arial" w:cs="Arial"/>
                <w:sz w:val="18"/>
                <w:szCs w:val="18"/>
              </w:rPr>
              <w:t>to corruption</w:t>
            </w:r>
          </w:p>
        </w:tc>
        <w:tc>
          <w:tcPr>
            <w:tcW w:w="2607" w:type="dxa"/>
            <w:noWrap/>
            <w:hideMark/>
          </w:tcPr>
          <w:p w14:paraId="139CFA36" w14:textId="6CBA19AF" w:rsidR="008D2191" w:rsidRPr="004C51AA" w:rsidRDefault="008D2191" w:rsidP="004C51AA">
            <w:pPr>
              <w:jc w:val="right"/>
              <w:rPr>
                <w:rFonts w:ascii="Arial" w:hAnsi="Arial" w:cs="Arial"/>
                <w:sz w:val="18"/>
                <w:szCs w:val="18"/>
              </w:rPr>
            </w:pPr>
            <w:r w:rsidRPr="004C51AA">
              <w:rPr>
                <w:rFonts w:ascii="Arial" w:hAnsi="Arial" w:cs="Arial"/>
                <w:sz w:val="18"/>
                <w:szCs w:val="18"/>
              </w:rPr>
              <w:t>100 000 000 000</w:t>
            </w:r>
          </w:p>
        </w:tc>
        <w:tc>
          <w:tcPr>
            <w:tcW w:w="2354" w:type="dxa"/>
            <w:noWrap/>
            <w:hideMark/>
          </w:tcPr>
          <w:p w14:paraId="0837A8A3" w14:textId="231BFC41" w:rsidR="008D2191" w:rsidRPr="004C51AA" w:rsidRDefault="008D2191" w:rsidP="004C51AA">
            <w:pPr>
              <w:jc w:val="right"/>
              <w:rPr>
                <w:rFonts w:ascii="Arial" w:hAnsi="Arial" w:cs="Arial"/>
                <w:sz w:val="18"/>
                <w:szCs w:val="18"/>
              </w:rPr>
            </w:pPr>
            <w:r w:rsidRPr="004C51AA">
              <w:rPr>
                <w:rFonts w:ascii="Arial" w:hAnsi="Arial" w:cs="Arial"/>
                <w:sz w:val="18"/>
                <w:szCs w:val="18"/>
              </w:rPr>
              <w:t>100 000 000 000</w:t>
            </w:r>
          </w:p>
        </w:tc>
        <w:tc>
          <w:tcPr>
            <w:tcW w:w="2410" w:type="dxa"/>
            <w:noWrap/>
            <w:hideMark/>
          </w:tcPr>
          <w:p w14:paraId="5A4D1F79" w14:textId="126D8CC3" w:rsidR="008D2191" w:rsidRPr="004C51AA" w:rsidRDefault="008D2191" w:rsidP="004C51AA">
            <w:pPr>
              <w:jc w:val="right"/>
              <w:rPr>
                <w:rFonts w:ascii="Arial" w:hAnsi="Arial" w:cs="Arial"/>
                <w:sz w:val="18"/>
                <w:szCs w:val="18"/>
              </w:rPr>
            </w:pPr>
            <w:r w:rsidRPr="004C51AA">
              <w:rPr>
                <w:rFonts w:ascii="Arial" w:hAnsi="Arial" w:cs="Arial"/>
                <w:sz w:val="18"/>
                <w:szCs w:val="18"/>
              </w:rPr>
              <w:t>100 000 000 000</w:t>
            </w:r>
          </w:p>
        </w:tc>
      </w:tr>
      <w:tr w:rsidR="0035020B" w:rsidRPr="004C51AA" w14:paraId="3B687E88" w14:textId="77777777" w:rsidTr="008E15C2">
        <w:trPr>
          <w:trHeight w:val="300"/>
        </w:trPr>
        <w:tc>
          <w:tcPr>
            <w:tcW w:w="3286" w:type="dxa"/>
            <w:noWrap/>
            <w:hideMark/>
          </w:tcPr>
          <w:p w14:paraId="08AE4C4C"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21B1C61E" w14:textId="77777777" w:rsidR="008D2191" w:rsidRPr="004C51AA" w:rsidRDefault="008D2191" w:rsidP="004C51AA">
            <w:pPr>
              <w:jc w:val="right"/>
              <w:rPr>
                <w:rFonts w:ascii="Arial" w:hAnsi="Arial" w:cs="Arial"/>
                <w:sz w:val="18"/>
                <w:szCs w:val="18"/>
              </w:rPr>
            </w:pPr>
          </w:p>
        </w:tc>
        <w:tc>
          <w:tcPr>
            <w:tcW w:w="2354" w:type="dxa"/>
            <w:noWrap/>
            <w:hideMark/>
          </w:tcPr>
          <w:p w14:paraId="3C0A43D1" w14:textId="77777777" w:rsidR="008D2191" w:rsidRPr="004C51AA" w:rsidRDefault="008D2191" w:rsidP="004C51AA">
            <w:pPr>
              <w:jc w:val="right"/>
              <w:rPr>
                <w:rFonts w:ascii="Arial" w:hAnsi="Arial" w:cs="Arial"/>
                <w:sz w:val="18"/>
                <w:szCs w:val="18"/>
              </w:rPr>
            </w:pPr>
          </w:p>
        </w:tc>
        <w:tc>
          <w:tcPr>
            <w:tcW w:w="2410" w:type="dxa"/>
            <w:noWrap/>
            <w:hideMark/>
          </w:tcPr>
          <w:p w14:paraId="70D87760"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33FAA4A6" w14:textId="77777777" w:rsidTr="008E15C2">
        <w:trPr>
          <w:trHeight w:val="300"/>
        </w:trPr>
        <w:tc>
          <w:tcPr>
            <w:tcW w:w="3286" w:type="dxa"/>
            <w:noWrap/>
            <w:hideMark/>
          </w:tcPr>
          <w:p w14:paraId="32CB0D89" w14:textId="77777777" w:rsidR="008D2191" w:rsidRPr="004C51AA" w:rsidRDefault="008D2191" w:rsidP="00820515">
            <w:pPr>
              <w:rPr>
                <w:rFonts w:ascii="Arial" w:hAnsi="Arial" w:cs="Arial"/>
                <w:sz w:val="18"/>
                <w:szCs w:val="18"/>
              </w:rPr>
            </w:pPr>
            <w:r w:rsidRPr="004C51AA">
              <w:rPr>
                <w:rFonts w:ascii="Arial" w:hAnsi="Arial" w:cs="Arial"/>
                <w:sz w:val="18"/>
                <w:szCs w:val="18"/>
              </w:rPr>
              <w:t>Freezing Non-OSD Wages</w:t>
            </w:r>
          </w:p>
        </w:tc>
        <w:tc>
          <w:tcPr>
            <w:tcW w:w="2607" w:type="dxa"/>
            <w:noWrap/>
            <w:hideMark/>
          </w:tcPr>
          <w:p w14:paraId="32D30A5A" w14:textId="4A79B2CE" w:rsidR="008D2191" w:rsidRPr="004C51AA" w:rsidRDefault="008D2191" w:rsidP="004C51AA">
            <w:pPr>
              <w:jc w:val="right"/>
              <w:rPr>
                <w:rFonts w:ascii="Arial" w:hAnsi="Arial" w:cs="Arial"/>
                <w:sz w:val="18"/>
                <w:szCs w:val="18"/>
              </w:rPr>
            </w:pPr>
            <w:r w:rsidRPr="004C51AA">
              <w:rPr>
                <w:rFonts w:ascii="Arial" w:hAnsi="Arial" w:cs="Arial"/>
                <w:sz w:val="18"/>
                <w:szCs w:val="18"/>
              </w:rPr>
              <w:t>60 000 000 000</w:t>
            </w:r>
          </w:p>
        </w:tc>
        <w:tc>
          <w:tcPr>
            <w:tcW w:w="2354" w:type="dxa"/>
            <w:noWrap/>
            <w:hideMark/>
          </w:tcPr>
          <w:p w14:paraId="6540E068" w14:textId="28476E30" w:rsidR="008D2191" w:rsidRPr="004C51AA" w:rsidRDefault="008D2191" w:rsidP="004C51AA">
            <w:pPr>
              <w:jc w:val="right"/>
              <w:rPr>
                <w:rFonts w:ascii="Arial" w:hAnsi="Arial" w:cs="Arial"/>
                <w:sz w:val="18"/>
                <w:szCs w:val="18"/>
              </w:rPr>
            </w:pPr>
            <w:r w:rsidRPr="004C51AA">
              <w:rPr>
                <w:rFonts w:ascii="Arial" w:hAnsi="Arial" w:cs="Arial"/>
                <w:sz w:val="18"/>
                <w:szCs w:val="18"/>
              </w:rPr>
              <w:t>40 000 000 000</w:t>
            </w:r>
          </w:p>
        </w:tc>
        <w:tc>
          <w:tcPr>
            <w:tcW w:w="2410" w:type="dxa"/>
            <w:noWrap/>
            <w:hideMark/>
          </w:tcPr>
          <w:p w14:paraId="04EDDB17" w14:textId="0F67EBE8" w:rsidR="008D2191" w:rsidRPr="004C51AA" w:rsidRDefault="008D2191" w:rsidP="004C51AA">
            <w:pPr>
              <w:jc w:val="right"/>
              <w:rPr>
                <w:rFonts w:ascii="Arial" w:hAnsi="Arial" w:cs="Arial"/>
                <w:sz w:val="18"/>
                <w:szCs w:val="18"/>
              </w:rPr>
            </w:pPr>
            <w:r w:rsidRPr="004C51AA">
              <w:rPr>
                <w:rFonts w:ascii="Arial" w:hAnsi="Arial" w:cs="Arial"/>
                <w:sz w:val="18"/>
                <w:szCs w:val="18"/>
              </w:rPr>
              <w:t>40 000 000 000</w:t>
            </w:r>
          </w:p>
        </w:tc>
      </w:tr>
      <w:tr w:rsidR="0035020B" w:rsidRPr="004C51AA" w14:paraId="00BF567C" w14:textId="77777777" w:rsidTr="008E15C2">
        <w:trPr>
          <w:trHeight w:val="300"/>
        </w:trPr>
        <w:tc>
          <w:tcPr>
            <w:tcW w:w="3286" w:type="dxa"/>
            <w:noWrap/>
            <w:hideMark/>
          </w:tcPr>
          <w:p w14:paraId="318B3CFD"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45AF70BB" w14:textId="77777777" w:rsidR="008D2191" w:rsidRPr="004C51AA" w:rsidRDefault="008D2191" w:rsidP="004C51AA">
            <w:pPr>
              <w:jc w:val="right"/>
              <w:rPr>
                <w:rFonts w:ascii="Arial" w:hAnsi="Arial" w:cs="Arial"/>
                <w:sz w:val="18"/>
                <w:szCs w:val="18"/>
              </w:rPr>
            </w:pPr>
          </w:p>
        </w:tc>
        <w:tc>
          <w:tcPr>
            <w:tcW w:w="2354" w:type="dxa"/>
            <w:noWrap/>
            <w:hideMark/>
          </w:tcPr>
          <w:p w14:paraId="76847FF6" w14:textId="77777777" w:rsidR="008D2191" w:rsidRPr="004C51AA" w:rsidRDefault="008D2191" w:rsidP="004C51AA">
            <w:pPr>
              <w:jc w:val="right"/>
              <w:rPr>
                <w:rFonts w:ascii="Arial" w:hAnsi="Arial" w:cs="Arial"/>
                <w:sz w:val="18"/>
                <w:szCs w:val="18"/>
              </w:rPr>
            </w:pPr>
          </w:p>
        </w:tc>
        <w:tc>
          <w:tcPr>
            <w:tcW w:w="2410" w:type="dxa"/>
            <w:noWrap/>
            <w:hideMark/>
          </w:tcPr>
          <w:p w14:paraId="542DEBE3"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66BE180D" w14:textId="77777777" w:rsidTr="008E15C2">
        <w:trPr>
          <w:trHeight w:val="300"/>
        </w:trPr>
        <w:tc>
          <w:tcPr>
            <w:tcW w:w="3286" w:type="dxa"/>
            <w:noWrap/>
            <w:hideMark/>
          </w:tcPr>
          <w:p w14:paraId="47657F8E" w14:textId="459E2561" w:rsidR="008D2191" w:rsidRPr="004C51AA" w:rsidRDefault="008D2191" w:rsidP="00820515">
            <w:pPr>
              <w:rPr>
                <w:rFonts w:ascii="Arial" w:hAnsi="Arial" w:cs="Arial"/>
                <w:sz w:val="18"/>
                <w:szCs w:val="18"/>
              </w:rPr>
            </w:pPr>
            <w:r w:rsidRPr="004C51AA">
              <w:rPr>
                <w:rFonts w:ascii="Arial" w:hAnsi="Arial" w:cs="Arial"/>
                <w:sz w:val="18"/>
                <w:szCs w:val="18"/>
              </w:rPr>
              <w:t>Reduce Millionaire Managers</w:t>
            </w:r>
          </w:p>
        </w:tc>
        <w:tc>
          <w:tcPr>
            <w:tcW w:w="2607" w:type="dxa"/>
            <w:noWrap/>
            <w:hideMark/>
          </w:tcPr>
          <w:p w14:paraId="1BDB4062" w14:textId="3320905C" w:rsidR="008D2191" w:rsidRPr="004C51AA" w:rsidRDefault="008D2191" w:rsidP="004C51AA">
            <w:pPr>
              <w:jc w:val="right"/>
              <w:rPr>
                <w:rFonts w:ascii="Arial" w:hAnsi="Arial" w:cs="Arial"/>
                <w:sz w:val="18"/>
                <w:szCs w:val="18"/>
              </w:rPr>
            </w:pPr>
            <w:r w:rsidRPr="004C51AA">
              <w:rPr>
                <w:rFonts w:ascii="Arial" w:hAnsi="Arial" w:cs="Arial"/>
                <w:sz w:val="18"/>
                <w:szCs w:val="18"/>
              </w:rPr>
              <w:t>60 000 000 00</w:t>
            </w:r>
            <w:r w:rsidR="00084655">
              <w:rPr>
                <w:rFonts w:ascii="Arial" w:hAnsi="Arial" w:cs="Arial"/>
                <w:sz w:val="18"/>
                <w:szCs w:val="18"/>
              </w:rPr>
              <w:t>0</w:t>
            </w:r>
          </w:p>
        </w:tc>
        <w:tc>
          <w:tcPr>
            <w:tcW w:w="2354" w:type="dxa"/>
            <w:noWrap/>
            <w:hideMark/>
          </w:tcPr>
          <w:p w14:paraId="4541ADB8" w14:textId="3E4B6118" w:rsidR="008D2191" w:rsidRPr="004C51AA" w:rsidRDefault="008D2191" w:rsidP="004C51AA">
            <w:pPr>
              <w:jc w:val="right"/>
              <w:rPr>
                <w:rFonts w:ascii="Arial" w:hAnsi="Arial" w:cs="Arial"/>
                <w:sz w:val="18"/>
                <w:szCs w:val="18"/>
              </w:rPr>
            </w:pPr>
            <w:r w:rsidRPr="004C51AA">
              <w:rPr>
                <w:rFonts w:ascii="Arial" w:hAnsi="Arial" w:cs="Arial"/>
                <w:sz w:val="18"/>
                <w:szCs w:val="18"/>
              </w:rPr>
              <w:t>60 000 000 000</w:t>
            </w:r>
          </w:p>
        </w:tc>
        <w:tc>
          <w:tcPr>
            <w:tcW w:w="2410" w:type="dxa"/>
            <w:noWrap/>
            <w:hideMark/>
          </w:tcPr>
          <w:p w14:paraId="03B23594" w14:textId="069728A5" w:rsidR="008D2191" w:rsidRPr="004C51AA" w:rsidRDefault="008D2191" w:rsidP="004C51AA">
            <w:pPr>
              <w:jc w:val="right"/>
              <w:rPr>
                <w:rFonts w:ascii="Arial" w:hAnsi="Arial" w:cs="Arial"/>
                <w:sz w:val="18"/>
                <w:szCs w:val="18"/>
              </w:rPr>
            </w:pPr>
            <w:r w:rsidRPr="004C51AA">
              <w:rPr>
                <w:rFonts w:ascii="Arial" w:hAnsi="Arial" w:cs="Arial"/>
                <w:sz w:val="18"/>
                <w:szCs w:val="18"/>
              </w:rPr>
              <w:t>60 000 000 000</w:t>
            </w:r>
          </w:p>
        </w:tc>
      </w:tr>
      <w:tr w:rsidR="0035020B" w:rsidRPr="004C51AA" w14:paraId="2A57A521" w14:textId="77777777" w:rsidTr="008E15C2">
        <w:trPr>
          <w:trHeight w:val="300"/>
        </w:trPr>
        <w:tc>
          <w:tcPr>
            <w:tcW w:w="3286" w:type="dxa"/>
            <w:noWrap/>
            <w:hideMark/>
          </w:tcPr>
          <w:p w14:paraId="25AD87C9"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0D3EF46D" w14:textId="77777777" w:rsidR="008D2191" w:rsidRPr="004C51AA" w:rsidRDefault="008D2191" w:rsidP="004C51AA">
            <w:pPr>
              <w:jc w:val="right"/>
              <w:rPr>
                <w:rFonts w:ascii="Arial" w:hAnsi="Arial" w:cs="Arial"/>
                <w:sz w:val="18"/>
                <w:szCs w:val="18"/>
              </w:rPr>
            </w:pPr>
          </w:p>
        </w:tc>
        <w:tc>
          <w:tcPr>
            <w:tcW w:w="2354" w:type="dxa"/>
            <w:noWrap/>
            <w:hideMark/>
          </w:tcPr>
          <w:p w14:paraId="4333BB3C" w14:textId="77777777" w:rsidR="008D2191" w:rsidRPr="004C51AA" w:rsidRDefault="008D2191" w:rsidP="004C51AA">
            <w:pPr>
              <w:jc w:val="right"/>
              <w:rPr>
                <w:rFonts w:ascii="Arial" w:hAnsi="Arial" w:cs="Arial"/>
                <w:sz w:val="18"/>
                <w:szCs w:val="18"/>
              </w:rPr>
            </w:pPr>
          </w:p>
        </w:tc>
        <w:tc>
          <w:tcPr>
            <w:tcW w:w="2410" w:type="dxa"/>
            <w:noWrap/>
            <w:hideMark/>
          </w:tcPr>
          <w:p w14:paraId="32A2CB22"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4EA8E795" w14:textId="77777777" w:rsidTr="008E15C2">
        <w:trPr>
          <w:trHeight w:val="300"/>
        </w:trPr>
        <w:tc>
          <w:tcPr>
            <w:tcW w:w="3286" w:type="dxa"/>
            <w:noWrap/>
            <w:hideMark/>
          </w:tcPr>
          <w:p w14:paraId="7F66AB4A" w14:textId="77777777" w:rsidR="008D2191" w:rsidRPr="004C51AA" w:rsidRDefault="008D2191" w:rsidP="00820515">
            <w:pPr>
              <w:rPr>
                <w:rFonts w:ascii="Arial" w:hAnsi="Arial" w:cs="Arial"/>
                <w:sz w:val="18"/>
                <w:szCs w:val="18"/>
              </w:rPr>
            </w:pPr>
            <w:r w:rsidRPr="004C51AA">
              <w:rPr>
                <w:rFonts w:ascii="Arial" w:hAnsi="Arial" w:cs="Arial"/>
                <w:sz w:val="18"/>
                <w:szCs w:val="18"/>
              </w:rPr>
              <w:t>Freeze New Development Bank</w:t>
            </w:r>
          </w:p>
        </w:tc>
        <w:tc>
          <w:tcPr>
            <w:tcW w:w="2607" w:type="dxa"/>
            <w:noWrap/>
            <w:hideMark/>
          </w:tcPr>
          <w:p w14:paraId="20C640F4" w14:textId="249F2DE5" w:rsidR="008D2191" w:rsidRPr="004C51AA" w:rsidRDefault="008D2191" w:rsidP="004C51AA">
            <w:pPr>
              <w:jc w:val="right"/>
              <w:rPr>
                <w:rFonts w:ascii="Arial" w:hAnsi="Arial" w:cs="Arial"/>
                <w:sz w:val="18"/>
                <w:szCs w:val="18"/>
              </w:rPr>
            </w:pPr>
            <w:r w:rsidRPr="004C51AA">
              <w:rPr>
                <w:rFonts w:ascii="Arial" w:hAnsi="Arial" w:cs="Arial"/>
                <w:sz w:val="18"/>
                <w:szCs w:val="18"/>
              </w:rPr>
              <w:t>7 920 000,00</w:t>
            </w:r>
          </w:p>
        </w:tc>
        <w:tc>
          <w:tcPr>
            <w:tcW w:w="2354" w:type="dxa"/>
            <w:noWrap/>
            <w:hideMark/>
          </w:tcPr>
          <w:p w14:paraId="70B688E9" w14:textId="09B05D4C" w:rsidR="008D2191" w:rsidRPr="004C51AA" w:rsidRDefault="008D2191" w:rsidP="004C51AA">
            <w:pPr>
              <w:jc w:val="right"/>
              <w:rPr>
                <w:rFonts w:ascii="Arial" w:hAnsi="Arial" w:cs="Arial"/>
                <w:sz w:val="18"/>
                <w:szCs w:val="18"/>
              </w:rPr>
            </w:pPr>
            <w:r w:rsidRPr="004C51AA">
              <w:rPr>
                <w:rFonts w:ascii="Arial" w:hAnsi="Arial" w:cs="Arial"/>
                <w:sz w:val="18"/>
                <w:szCs w:val="18"/>
              </w:rPr>
              <w:t>5 540 000,00</w:t>
            </w:r>
          </w:p>
        </w:tc>
        <w:tc>
          <w:tcPr>
            <w:tcW w:w="2410" w:type="dxa"/>
            <w:noWrap/>
            <w:hideMark/>
          </w:tcPr>
          <w:p w14:paraId="25AF3C4C" w14:textId="4DF7DB70" w:rsidR="008D2191" w:rsidRPr="004C51AA" w:rsidRDefault="008D2191" w:rsidP="004C51AA">
            <w:pPr>
              <w:jc w:val="right"/>
              <w:rPr>
                <w:rFonts w:ascii="Arial" w:hAnsi="Arial" w:cs="Arial"/>
                <w:sz w:val="18"/>
                <w:szCs w:val="18"/>
              </w:rPr>
            </w:pPr>
            <w:r w:rsidRPr="004C51AA">
              <w:rPr>
                <w:rFonts w:ascii="Arial" w:hAnsi="Arial" w:cs="Arial"/>
                <w:sz w:val="18"/>
                <w:szCs w:val="18"/>
              </w:rPr>
              <w:t>4 613 333,00</w:t>
            </w:r>
          </w:p>
        </w:tc>
      </w:tr>
      <w:tr w:rsidR="0035020B" w:rsidRPr="004C51AA" w14:paraId="1D6606C3" w14:textId="77777777" w:rsidTr="008E15C2">
        <w:trPr>
          <w:trHeight w:val="300"/>
        </w:trPr>
        <w:tc>
          <w:tcPr>
            <w:tcW w:w="3286" w:type="dxa"/>
            <w:noWrap/>
            <w:hideMark/>
          </w:tcPr>
          <w:p w14:paraId="40C90CE8"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7C00E895" w14:textId="77777777" w:rsidR="008D2191" w:rsidRPr="004C51AA" w:rsidRDefault="008D2191" w:rsidP="004C51AA">
            <w:pPr>
              <w:jc w:val="right"/>
              <w:rPr>
                <w:rFonts w:ascii="Arial" w:hAnsi="Arial" w:cs="Arial"/>
                <w:sz w:val="18"/>
                <w:szCs w:val="18"/>
              </w:rPr>
            </w:pPr>
          </w:p>
        </w:tc>
        <w:tc>
          <w:tcPr>
            <w:tcW w:w="2354" w:type="dxa"/>
            <w:noWrap/>
            <w:hideMark/>
          </w:tcPr>
          <w:p w14:paraId="49E7A732" w14:textId="77777777" w:rsidR="008D2191" w:rsidRPr="004C51AA" w:rsidRDefault="008D2191" w:rsidP="004C51AA">
            <w:pPr>
              <w:jc w:val="right"/>
              <w:rPr>
                <w:rFonts w:ascii="Arial" w:hAnsi="Arial" w:cs="Arial"/>
                <w:sz w:val="18"/>
                <w:szCs w:val="18"/>
              </w:rPr>
            </w:pPr>
          </w:p>
        </w:tc>
        <w:tc>
          <w:tcPr>
            <w:tcW w:w="2410" w:type="dxa"/>
            <w:noWrap/>
            <w:hideMark/>
          </w:tcPr>
          <w:p w14:paraId="570607CC"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2E8F2D3B" w14:textId="77777777" w:rsidTr="008E15C2">
        <w:trPr>
          <w:trHeight w:val="300"/>
        </w:trPr>
        <w:tc>
          <w:tcPr>
            <w:tcW w:w="3286" w:type="dxa"/>
            <w:noWrap/>
            <w:hideMark/>
          </w:tcPr>
          <w:p w14:paraId="6E1E1EA9" w14:textId="08FD42C7" w:rsidR="008D2191" w:rsidRPr="004C51AA" w:rsidRDefault="008D2191" w:rsidP="00820515">
            <w:pPr>
              <w:rPr>
                <w:rFonts w:ascii="Arial" w:hAnsi="Arial" w:cs="Arial"/>
                <w:sz w:val="18"/>
                <w:szCs w:val="18"/>
              </w:rPr>
            </w:pPr>
            <w:r w:rsidRPr="004C51AA">
              <w:rPr>
                <w:rFonts w:ascii="Arial" w:hAnsi="Arial" w:cs="Arial"/>
                <w:sz w:val="18"/>
                <w:szCs w:val="18"/>
              </w:rPr>
              <w:t>Fruitless and Wasteful Expenditure</w:t>
            </w:r>
          </w:p>
        </w:tc>
        <w:tc>
          <w:tcPr>
            <w:tcW w:w="2607" w:type="dxa"/>
            <w:noWrap/>
            <w:hideMark/>
          </w:tcPr>
          <w:p w14:paraId="148B1F9A" w14:textId="4B8594F6" w:rsidR="008D2191" w:rsidRPr="004C51AA" w:rsidRDefault="008D2191" w:rsidP="004C51AA">
            <w:pPr>
              <w:jc w:val="right"/>
              <w:rPr>
                <w:rFonts w:ascii="Arial" w:hAnsi="Arial" w:cs="Arial"/>
                <w:sz w:val="18"/>
                <w:szCs w:val="18"/>
              </w:rPr>
            </w:pPr>
            <w:r w:rsidRPr="004C51AA">
              <w:rPr>
                <w:rFonts w:ascii="Arial" w:hAnsi="Arial" w:cs="Arial"/>
                <w:sz w:val="18"/>
                <w:szCs w:val="18"/>
              </w:rPr>
              <w:t>300 000 000</w:t>
            </w:r>
          </w:p>
        </w:tc>
        <w:tc>
          <w:tcPr>
            <w:tcW w:w="2354" w:type="dxa"/>
            <w:noWrap/>
            <w:hideMark/>
          </w:tcPr>
          <w:p w14:paraId="38480121" w14:textId="4158081A" w:rsidR="008D2191" w:rsidRPr="004C51AA" w:rsidRDefault="008D2191" w:rsidP="004C51AA">
            <w:pPr>
              <w:jc w:val="right"/>
              <w:rPr>
                <w:rFonts w:ascii="Arial" w:hAnsi="Arial" w:cs="Arial"/>
                <w:sz w:val="18"/>
                <w:szCs w:val="18"/>
              </w:rPr>
            </w:pPr>
            <w:r w:rsidRPr="004C51AA">
              <w:rPr>
                <w:rFonts w:ascii="Arial" w:hAnsi="Arial" w:cs="Arial"/>
                <w:sz w:val="18"/>
                <w:szCs w:val="18"/>
              </w:rPr>
              <w:t>300 000 000</w:t>
            </w:r>
          </w:p>
        </w:tc>
        <w:tc>
          <w:tcPr>
            <w:tcW w:w="2410" w:type="dxa"/>
            <w:noWrap/>
            <w:hideMark/>
          </w:tcPr>
          <w:p w14:paraId="3D6032F1" w14:textId="583C2BF0" w:rsidR="008D2191" w:rsidRPr="004C51AA" w:rsidRDefault="008D2191" w:rsidP="004C51AA">
            <w:pPr>
              <w:jc w:val="right"/>
              <w:rPr>
                <w:rFonts w:ascii="Arial" w:hAnsi="Arial" w:cs="Arial"/>
                <w:sz w:val="18"/>
                <w:szCs w:val="18"/>
              </w:rPr>
            </w:pPr>
            <w:r w:rsidRPr="004C51AA">
              <w:rPr>
                <w:rFonts w:ascii="Arial" w:hAnsi="Arial" w:cs="Arial"/>
                <w:sz w:val="18"/>
                <w:szCs w:val="18"/>
              </w:rPr>
              <w:t>300 000 000</w:t>
            </w:r>
          </w:p>
        </w:tc>
      </w:tr>
      <w:tr w:rsidR="0035020B" w:rsidRPr="004C51AA" w14:paraId="597E598A" w14:textId="77777777" w:rsidTr="008E15C2">
        <w:trPr>
          <w:trHeight w:val="300"/>
        </w:trPr>
        <w:tc>
          <w:tcPr>
            <w:tcW w:w="3286" w:type="dxa"/>
            <w:noWrap/>
            <w:hideMark/>
          </w:tcPr>
          <w:p w14:paraId="45C6F691"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7CEDF31C" w14:textId="77777777" w:rsidR="008D2191" w:rsidRPr="004C51AA" w:rsidRDefault="008D2191" w:rsidP="004C51AA">
            <w:pPr>
              <w:jc w:val="right"/>
              <w:rPr>
                <w:rFonts w:ascii="Arial" w:hAnsi="Arial" w:cs="Arial"/>
                <w:sz w:val="18"/>
                <w:szCs w:val="18"/>
              </w:rPr>
            </w:pPr>
          </w:p>
        </w:tc>
        <w:tc>
          <w:tcPr>
            <w:tcW w:w="2354" w:type="dxa"/>
            <w:noWrap/>
            <w:hideMark/>
          </w:tcPr>
          <w:p w14:paraId="4F948297" w14:textId="77777777" w:rsidR="008D2191" w:rsidRPr="004C51AA" w:rsidRDefault="008D2191" w:rsidP="004C51AA">
            <w:pPr>
              <w:jc w:val="right"/>
              <w:rPr>
                <w:rFonts w:ascii="Arial" w:hAnsi="Arial" w:cs="Arial"/>
                <w:sz w:val="18"/>
                <w:szCs w:val="18"/>
              </w:rPr>
            </w:pPr>
          </w:p>
        </w:tc>
        <w:tc>
          <w:tcPr>
            <w:tcW w:w="2410" w:type="dxa"/>
            <w:noWrap/>
            <w:hideMark/>
          </w:tcPr>
          <w:p w14:paraId="0F62B9CB"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49445822" w14:textId="77777777" w:rsidTr="008E15C2">
        <w:trPr>
          <w:trHeight w:val="300"/>
        </w:trPr>
        <w:tc>
          <w:tcPr>
            <w:tcW w:w="3286" w:type="dxa"/>
            <w:noWrap/>
            <w:hideMark/>
          </w:tcPr>
          <w:p w14:paraId="5F3DF732" w14:textId="77777777" w:rsidR="008D2191" w:rsidRPr="004C51AA" w:rsidRDefault="008D2191" w:rsidP="00820515">
            <w:pPr>
              <w:rPr>
                <w:rFonts w:ascii="Arial" w:hAnsi="Arial" w:cs="Arial"/>
                <w:sz w:val="18"/>
                <w:szCs w:val="18"/>
              </w:rPr>
            </w:pPr>
            <w:r w:rsidRPr="004C51AA">
              <w:rPr>
                <w:rFonts w:ascii="Arial" w:hAnsi="Arial" w:cs="Arial"/>
                <w:sz w:val="18"/>
                <w:szCs w:val="18"/>
              </w:rPr>
              <w:t xml:space="preserve">VIP Protection and Security Services  </w:t>
            </w:r>
          </w:p>
        </w:tc>
        <w:tc>
          <w:tcPr>
            <w:tcW w:w="2607" w:type="dxa"/>
            <w:noWrap/>
            <w:hideMark/>
          </w:tcPr>
          <w:p w14:paraId="674120DD" w14:textId="00FE8692" w:rsidR="008D2191" w:rsidRPr="004C51AA" w:rsidRDefault="008D2191" w:rsidP="004C51AA">
            <w:pPr>
              <w:jc w:val="right"/>
              <w:rPr>
                <w:rFonts w:ascii="Arial" w:hAnsi="Arial" w:cs="Arial"/>
                <w:sz w:val="18"/>
                <w:szCs w:val="18"/>
              </w:rPr>
            </w:pPr>
            <w:r w:rsidRPr="004C51AA">
              <w:rPr>
                <w:rFonts w:ascii="Arial" w:hAnsi="Arial" w:cs="Arial"/>
                <w:sz w:val="18"/>
                <w:szCs w:val="18"/>
              </w:rPr>
              <w:t>1 750 000 000</w:t>
            </w:r>
          </w:p>
        </w:tc>
        <w:tc>
          <w:tcPr>
            <w:tcW w:w="2354" w:type="dxa"/>
            <w:noWrap/>
            <w:hideMark/>
          </w:tcPr>
          <w:p w14:paraId="4896A71C" w14:textId="6B473491" w:rsidR="008D2191" w:rsidRPr="004C51AA" w:rsidRDefault="008D2191" w:rsidP="004C51AA">
            <w:pPr>
              <w:jc w:val="right"/>
              <w:rPr>
                <w:rFonts w:ascii="Arial" w:hAnsi="Arial" w:cs="Arial"/>
                <w:sz w:val="18"/>
                <w:szCs w:val="18"/>
              </w:rPr>
            </w:pPr>
            <w:r w:rsidRPr="004C51AA">
              <w:rPr>
                <w:rFonts w:ascii="Arial" w:hAnsi="Arial" w:cs="Arial"/>
                <w:sz w:val="18"/>
                <w:szCs w:val="18"/>
              </w:rPr>
              <w:t>1 750 000 000</w:t>
            </w:r>
          </w:p>
        </w:tc>
        <w:tc>
          <w:tcPr>
            <w:tcW w:w="2410" w:type="dxa"/>
            <w:noWrap/>
            <w:hideMark/>
          </w:tcPr>
          <w:p w14:paraId="5695BB6E" w14:textId="4EA94115" w:rsidR="008D2191" w:rsidRPr="004C51AA" w:rsidRDefault="008D2191" w:rsidP="004C51AA">
            <w:pPr>
              <w:jc w:val="right"/>
              <w:rPr>
                <w:rFonts w:ascii="Arial" w:hAnsi="Arial" w:cs="Arial"/>
                <w:sz w:val="18"/>
                <w:szCs w:val="18"/>
              </w:rPr>
            </w:pPr>
            <w:r w:rsidRPr="004C51AA">
              <w:rPr>
                <w:rFonts w:ascii="Arial" w:hAnsi="Arial" w:cs="Arial"/>
                <w:sz w:val="18"/>
                <w:szCs w:val="18"/>
              </w:rPr>
              <w:t>1 750 000 000</w:t>
            </w:r>
          </w:p>
        </w:tc>
      </w:tr>
      <w:tr w:rsidR="0035020B" w:rsidRPr="004C51AA" w14:paraId="1B7BA0A7" w14:textId="77777777" w:rsidTr="008E15C2">
        <w:trPr>
          <w:trHeight w:val="300"/>
        </w:trPr>
        <w:tc>
          <w:tcPr>
            <w:tcW w:w="3286" w:type="dxa"/>
            <w:noWrap/>
            <w:hideMark/>
          </w:tcPr>
          <w:p w14:paraId="5DF5DCC7"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3C23A29F" w14:textId="77777777" w:rsidR="008D2191" w:rsidRPr="004C51AA" w:rsidRDefault="008D2191" w:rsidP="004C51AA">
            <w:pPr>
              <w:jc w:val="right"/>
              <w:rPr>
                <w:rFonts w:ascii="Arial" w:hAnsi="Arial" w:cs="Arial"/>
                <w:sz w:val="18"/>
                <w:szCs w:val="18"/>
              </w:rPr>
            </w:pPr>
          </w:p>
        </w:tc>
        <w:tc>
          <w:tcPr>
            <w:tcW w:w="2354" w:type="dxa"/>
            <w:noWrap/>
            <w:hideMark/>
          </w:tcPr>
          <w:p w14:paraId="3E228FEB" w14:textId="77777777" w:rsidR="008D2191" w:rsidRPr="004C51AA" w:rsidRDefault="008D2191" w:rsidP="004C51AA">
            <w:pPr>
              <w:jc w:val="right"/>
              <w:rPr>
                <w:rFonts w:ascii="Arial" w:hAnsi="Arial" w:cs="Arial"/>
                <w:sz w:val="18"/>
                <w:szCs w:val="18"/>
              </w:rPr>
            </w:pPr>
          </w:p>
        </w:tc>
        <w:tc>
          <w:tcPr>
            <w:tcW w:w="2410" w:type="dxa"/>
            <w:noWrap/>
            <w:hideMark/>
          </w:tcPr>
          <w:p w14:paraId="4EF80243"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79F6A148" w14:textId="77777777" w:rsidTr="008E15C2">
        <w:trPr>
          <w:trHeight w:val="300"/>
        </w:trPr>
        <w:tc>
          <w:tcPr>
            <w:tcW w:w="3286" w:type="dxa"/>
            <w:noWrap/>
            <w:hideMark/>
          </w:tcPr>
          <w:p w14:paraId="70CEF81D" w14:textId="407BFE84" w:rsidR="008D2191" w:rsidRPr="004C51AA" w:rsidRDefault="008D2191" w:rsidP="00820515">
            <w:pPr>
              <w:rPr>
                <w:rFonts w:ascii="Arial" w:hAnsi="Arial" w:cs="Arial"/>
                <w:sz w:val="18"/>
                <w:szCs w:val="18"/>
              </w:rPr>
            </w:pPr>
            <w:r w:rsidRPr="004C51AA">
              <w:rPr>
                <w:rFonts w:ascii="Arial" w:hAnsi="Arial" w:cs="Arial"/>
                <w:sz w:val="18"/>
                <w:szCs w:val="18"/>
              </w:rPr>
              <w:t xml:space="preserve">Shut </w:t>
            </w:r>
            <w:r w:rsidR="00EE4D79">
              <w:rPr>
                <w:rFonts w:ascii="Arial" w:hAnsi="Arial" w:cs="Arial"/>
                <w:sz w:val="18"/>
                <w:szCs w:val="18"/>
              </w:rPr>
              <w:t xml:space="preserve">down </w:t>
            </w:r>
            <w:r w:rsidRPr="004C51AA">
              <w:rPr>
                <w:rFonts w:ascii="Arial" w:hAnsi="Arial" w:cs="Arial"/>
                <w:sz w:val="18"/>
                <w:szCs w:val="18"/>
              </w:rPr>
              <w:t>NYDA</w:t>
            </w:r>
          </w:p>
        </w:tc>
        <w:tc>
          <w:tcPr>
            <w:tcW w:w="2607" w:type="dxa"/>
            <w:noWrap/>
            <w:hideMark/>
          </w:tcPr>
          <w:p w14:paraId="4F115B62" w14:textId="659F1072" w:rsidR="008D2191" w:rsidRPr="004C51AA" w:rsidRDefault="008D2191" w:rsidP="004C51AA">
            <w:pPr>
              <w:jc w:val="right"/>
              <w:rPr>
                <w:rFonts w:ascii="Arial" w:hAnsi="Arial" w:cs="Arial"/>
                <w:sz w:val="18"/>
                <w:szCs w:val="18"/>
              </w:rPr>
            </w:pPr>
            <w:r w:rsidRPr="004C51AA">
              <w:rPr>
                <w:rFonts w:ascii="Arial" w:hAnsi="Arial" w:cs="Arial"/>
                <w:sz w:val="18"/>
                <w:szCs w:val="18"/>
              </w:rPr>
              <w:t>1 500 000 000</w:t>
            </w:r>
          </w:p>
        </w:tc>
        <w:tc>
          <w:tcPr>
            <w:tcW w:w="2354" w:type="dxa"/>
            <w:noWrap/>
            <w:hideMark/>
          </w:tcPr>
          <w:p w14:paraId="67EB9956" w14:textId="491710EC" w:rsidR="008D2191" w:rsidRPr="004C51AA" w:rsidRDefault="008D2191" w:rsidP="004C51AA">
            <w:pPr>
              <w:jc w:val="right"/>
              <w:rPr>
                <w:rFonts w:ascii="Arial" w:hAnsi="Arial" w:cs="Arial"/>
                <w:sz w:val="18"/>
                <w:szCs w:val="18"/>
              </w:rPr>
            </w:pPr>
            <w:r w:rsidRPr="004C51AA">
              <w:rPr>
                <w:rFonts w:ascii="Arial" w:hAnsi="Arial" w:cs="Arial"/>
                <w:sz w:val="18"/>
                <w:szCs w:val="18"/>
              </w:rPr>
              <w:t>1 500 000 000</w:t>
            </w:r>
          </w:p>
        </w:tc>
        <w:tc>
          <w:tcPr>
            <w:tcW w:w="2410" w:type="dxa"/>
            <w:noWrap/>
            <w:hideMark/>
          </w:tcPr>
          <w:p w14:paraId="5466772B" w14:textId="0C50623F" w:rsidR="008D2191" w:rsidRPr="004C51AA" w:rsidRDefault="008D2191" w:rsidP="004C51AA">
            <w:pPr>
              <w:jc w:val="right"/>
              <w:rPr>
                <w:rFonts w:ascii="Arial" w:hAnsi="Arial" w:cs="Arial"/>
                <w:sz w:val="18"/>
                <w:szCs w:val="18"/>
              </w:rPr>
            </w:pPr>
            <w:r w:rsidRPr="004C51AA">
              <w:rPr>
                <w:rFonts w:ascii="Arial" w:hAnsi="Arial" w:cs="Arial"/>
                <w:sz w:val="18"/>
                <w:szCs w:val="18"/>
              </w:rPr>
              <w:t>1 500 000 000</w:t>
            </w:r>
          </w:p>
        </w:tc>
      </w:tr>
      <w:tr w:rsidR="0035020B" w:rsidRPr="004C51AA" w14:paraId="6A90687E" w14:textId="77777777" w:rsidTr="008E15C2">
        <w:trPr>
          <w:trHeight w:val="300"/>
        </w:trPr>
        <w:tc>
          <w:tcPr>
            <w:tcW w:w="3286" w:type="dxa"/>
            <w:noWrap/>
            <w:hideMark/>
          </w:tcPr>
          <w:p w14:paraId="0596403F"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702B5261" w14:textId="77777777" w:rsidR="008D2191" w:rsidRPr="004C51AA" w:rsidRDefault="008D2191" w:rsidP="004C51AA">
            <w:pPr>
              <w:jc w:val="right"/>
              <w:rPr>
                <w:rFonts w:ascii="Arial" w:hAnsi="Arial" w:cs="Arial"/>
                <w:sz w:val="18"/>
                <w:szCs w:val="18"/>
              </w:rPr>
            </w:pPr>
          </w:p>
        </w:tc>
        <w:tc>
          <w:tcPr>
            <w:tcW w:w="2354" w:type="dxa"/>
            <w:noWrap/>
            <w:hideMark/>
          </w:tcPr>
          <w:p w14:paraId="4904347F" w14:textId="77777777" w:rsidR="008D2191" w:rsidRPr="004C51AA" w:rsidRDefault="008D2191" w:rsidP="004C51AA">
            <w:pPr>
              <w:jc w:val="right"/>
              <w:rPr>
                <w:rFonts w:ascii="Arial" w:hAnsi="Arial" w:cs="Arial"/>
                <w:sz w:val="18"/>
                <w:szCs w:val="18"/>
              </w:rPr>
            </w:pPr>
          </w:p>
        </w:tc>
        <w:tc>
          <w:tcPr>
            <w:tcW w:w="2410" w:type="dxa"/>
            <w:noWrap/>
            <w:hideMark/>
          </w:tcPr>
          <w:p w14:paraId="415EBD49"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5C6A6BBE" w14:textId="77777777" w:rsidTr="008E15C2">
        <w:trPr>
          <w:trHeight w:val="300"/>
        </w:trPr>
        <w:tc>
          <w:tcPr>
            <w:tcW w:w="3286" w:type="dxa"/>
            <w:noWrap/>
            <w:hideMark/>
          </w:tcPr>
          <w:p w14:paraId="410594D9" w14:textId="77777777" w:rsidR="008D2191" w:rsidRPr="004C51AA" w:rsidRDefault="008D2191" w:rsidP="00820515">
            <w:pPr>
              <w:rPr>
                <w:rFonts w:ascii="Arial" w:hAnsi="Arial" w:cs="Arial"/>
                <w:sz w:val="18"/>
                <w:szCs w:val="18"/>
              </w:rPr>
            </w:pPr>
            <w:r w:rsidRPr="004C51AA">
              <w:rPr>
                <w:rFonts w:ascii="Arial" w:hAnsi="Arial" w:cs="Arial"/>
                <w:sz w:val="18"/>
                <w:szCs w:val="18"/>
              </w:rPr>
              <w:t>National Health Insurance  (NHI)</w:t>
            </w:r>
          </w:p>
        </w:tc>
        <w:tc>
          <w:tcPr>
            <w:tcW w:w="2607" w:type="dxa"/>
            <w:noWrap/>
            <w:hideMark/>
          </w:tcPr>
          <w:p w14:paraId="0E2C11F7" w14:textId="303704AD" w:rsidR="008D2191" w:rsidRPr="004C51AA" w:rsidRDefault="008D2191" w:rsidP="004C51AA">
            <w:pPr>
              <w:jc w:val="right"/>
              <w:rPr>
                <w:rFonts w:ascii="Arial" w:hAnsi="Arial" w:cs="Arial"/>
                <w:sz w:val="18"/>
                <w:szCs w:val="18"/>
              </w:rPr>
            </w:pPr>
            <w:r w:rsidRPr="004C51AA">
              <w:rPr>
                <w:rFonts w:ascii="Arial" w:hAnsi="Arial" w:cs="Arial"/>
                <w:sz w:val="18"/>
                <w:szCs w:val="18"/>
              </w:rPr>
              <w:t>1 527 400 000</w:t>
            </w:r>
          </w:p>
        </w:tc>
        <w:tc>
          <w:tcPr>
            <w:tcW w:w="2354" w:type="dxa"/>
            <w:noWrap/>
            <w:hideMark/>
          </w:tcPr>
          <w:p w14:paraId="4BB9EEFF" w14:textId="0D576285" w:rsidR="008D2191" w:rsidRPr="004C51AA" w:rsidRDefault="008D2191" w:rsidP="004C51AA">
            <w:pPr>
              <w:jc w:val="right"/>
              <w:rPr>
                <w:rFonts w:ascii="Arial" w:hAnsi="Arial" w:cs="Arial"/>
                <w:sz w:val="18"/>
                <w:szCs w:val="18"/>
              </w:rPr>
            </w:pPr>
            <w:r w:rsidRPr="004C51AA">
              <w:rPr>
                <w:rFonts w:ascii="Arial" w:hAnsi="Arial" w:cs="Arial"/>
                <w:sz w:val="18"/>
                <w:szCs w:val="18"/>
              </w:rPr>
              <w:t>1 538 100 000</w:t>
            </w:r>
          </w:p>
        </w:tc>
        <w:tc>
          <w:tcPr>
            <w:tcW w:w="2410" w:type="dxa"/>
            <w:noWrap/>
            <w:hideMark/>
          </w:tcPr>
          <w:p w14:paraId="3712844E" w14:textId="5B2CF764" w:rsidR="008D2191" w:rsidRPr="004C51AA" w:rsidRDefault="008D2191" w:rsidP="004C51AA">
            <w:pPr>
              <w:jc w:val="right"/>
              <w:rPr>
                <w:rFonts w:ascii="Arial" w:hAnsi="Arial" w:cs="Arial"/>
                <w:sz w:val="18"/>
                <w:szCs w:val="18"/>
              </w:rPr>
            </w:pPr>
            <w:r w:rsidRPr="004C51AA">
              <w:rPr>
                <w:rFonts w:ascii="Arial" w:hAnsi="Arial" w:cs="Arial"/>
                <w:sz w:val="18"/>
                <w:szCs w:val="18"/>
              </w:rPr>
              <w:t>1 612 900 000</w:t>
            </w:r>
          </w:p>
        </w:tc>
      </w:tr>
      <w:tr w:rsidR="0035020B" w:rsidRPr="004C51AA" w14:paraId="2C33EF93" w14:textId="77777777" w:rsidTr="008E15C2">
        <w:trPr>
          <w:trHeight w:val="300"/>
        </w:trPr>
        <w:tc>
          <w:tcPr>
            <w:tcW w:w="3286" w:type="dxa"/>
            <w:noWrap/>
            <w:hideMark/>
          </w:tcPr>
          <w:p w14:paraId="79B435D5"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1182161B" w14:textId="77777777" w:rsidR="008D2191" w:rsidRPr="004C51AA" w:rsidRDefault="008D2191" w:rsidP="004C51AA">
            <w:pPr>
              <w:jc w:val="right"/>
              <w:rPr>
                <w:rFonts w:ascii="Arial" w:hAnsi="Arial" w:cs="Arial"/>
                <w:sz w:val="18"/>
                <w:szCs w:val="18"/>
              </w:rPr>
            </w:pPr>
          </w:p>
        </w:tc>
        <w:tc>
          <w:tcPr>
            <w:tcW w:w="2354" w:type="dxa"/>
            <w:noWrap/>
            <w:hideMark/>
          </w:tcPr>
          <w:p w14:paraId="4696C8AC" w14:textId="77777777" w:rsidR="008D2191" w:rsidRPr="004C51AA" w:rsidRDefault="008D2191" w:rsidP="004C51AA">
            <w:pPr>
              <w:jc w:val="right"/>
              <w:rPr>
                <w:rFonts w:ascii="Arial" w:hAnsi="Arial" w:cs="Arial"/>
                <w:sz w:val="18"/>
                <w:szCs w:val="18"/>
              </w:rPr>
            </w:pPr>
          </w:p>
        </w:tc>
        <w:tc>
          <w:tcPr>
            <w:tcW w:w="2410" w:type="dxa"/>
            <w:noWrap/>
            <w:hideMark/>
          </w:tcPr>
          <w:p w14:paraId="219D5789"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0F8BA773" w14:textId="77777777" w:rsidTr="008E15C2">
        <w:trPr>
          <w:trHeight w:val="300"/>
        </w:trPr>
        <w:tc>
          <w:tcPr>
            <w:tcW w:w="3286" w:type="dxa"/>
            <w:noWrap/>
            <w:hideMark/>
          </w:tcPr>
          <w:p w14:paraId="5F7A94D8" w14:textId="77777777" w:rsidR="008D2191" w:rsidRPr="004C51AA" w:rsidRDefault="008D2191" w:rsidP="00820515">
            <w:pPr>
              <w:rPr>
                <w:rFonts w:ascii="Arial" w:hAnsi="Arial" w:cs="Arial"/>
                <w:sz w:val="18"/>
                <w:szCs w:val="18"/>
              </w:rPr>
            </w:pPr>
            <w:r w:rsidRPr="004C51AA">
              <w:rPr>
                <w:rFonts w:ascii="Arial" w:hAnsi="Arial" w:cs="Arial"/>
                <w:sz w:val="18"/>
                <w:szCs w:val="18"/>
              </w:rPr>
              <w:t>Irregular Expenditure</w:t>
            </w:r>
          </w:p>
        </w:tc>
        <w:tc>
          <w:tcPr>
            <w:tcW w:w="2607" w:type="dxa"/>
            <w:noWrap/>
            <w:hideMark/>
          </w:tcPr>
          <w:p w14:paraId="7CAD1661" w14:textId="2A283D5D" w:rsidR="008D2191" w:rsidRPr="004C51AA" w:rsidRDefault="008D2191" w:rsidP="004C51AA">
            <w:pPr>
              <w:jc w:val="right"/>
              <w:rPr>
                <w:rFonts w:ascii="Arial" w:hAnsi="Arial" w:cs="Arial"/>
                <w:sz w:val="18"/>
                <w:szCs w:val="18"/>
              </w:rPr>
            </w:pPr>
            <w:r w:rsidRPr="004C51AA">
              <w:rPr>
                <w:rFonts w:ascii="Arial" w:hAnsi="Arial" w:cs="Arial"/>
                <w:sz w:val="18"/>
                <w:szCs w:val="18"/>
              </w:rPr>
              <w:t>5 000 000 000</w:t>
            </w:r>
          </w:p>
        </w:tc>
        <w:tc>
          <w:tcPr>
            <w:tcW w:w="2354" w:type="dxa"/>
            <w:noWrap/>
            <w:hideMark/>
          </w:tcPr>
          <w:p w14:paraId="1740875E" w14:textId="4DCBC501" w:rsidR="008D2191" w:rsidRPr="004C51AA" w:rsidRDefault="008D2191" w:rsidP="004C51AA">
            <w:pPr>
              <w:jc w:val="right"/>
              <w:rPr>
                <w:rFonts w:ascii="Arial" w:hAnsi="Arial" w:cs="Arial"/>
                <w:sz w:val="18"/>
                <w:szCs w:val="18"/>
              </w:rPr>
            </w:pPr>
            <w:r w:rsidRPr="004C51AA">
              <w:rPr>
                <w:rFonts w:ascii="Arial" w:hAnsi="Arial" w:cs="Arial"/>
                <w:sz w:val="18"/>
                <w:szCs w:val="18"/>
              </w:rPr>
              <w:t>5 000 000 000</w:t>
            </w:r>
          </w:p>
        </w:tc>
        <w:tc>
          <w:tcPr>
            <w:tcW w:w="2410" w:type="dxa"/>
            <w:noWrap/>
            <w:hideMark/>
          </w:tcPr>
          <w:p w14:paraId="2195EC01" w14:textId="6505283B" w:rsidR="008D2191" w:rsidRPr="004C51AA" w:rsidRDefault="008D2191" w:rsidP="004C51AA">
            <w:pPr>
              <w:jc w:val="right"/>
              <w:rPr>
                <w:rFonts w:ascii="Arial" w:hAnsi="Arial" w:cs="Arial"/>
                <w:sz w:val="18"/>
                <w:szCs w:val="18"/>
              </w:rPr>
            </w:pPr>
            <w:r w:rsidRPr="004C51AA">
              <w:rPr>
                <w:rFonts w:ascii="Arial" w:hAnsi="Arial" w:cs="Arial"/>
                <w:sz w:val="18"/>
                <w:szCs w:val="18"/>
              </w:rPr>
              <w:t>5 000 000 000</w:t>
            </w:r>
          </w:p>
        </w:tc>
      </w:tr>
      <w:tr w:rsidR="0035020B" w:rsidRPr="004C51AA" w14:paraId="28A0FC10" w14:textId="77777777" w:rsidTr="008E15C2">
        <w:trPr>
          <w:trHeight w:val="300"/>
        </w:trPr>
        <w:tc>
          <w:tcPr>
            <w:tcW w:w="3286" w:type="dxa"/>
            <w:noWrap/>
            <w:hideMark/>
          </w:tcPr>
          <w:p w14:paraId="7BA3AC62"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511921FD" w14:textId="77777777" w:rsidR="008D2191" w:rsidRPr="004C51AA" w:rsidRDefault="008D2191" w:rsidP="004C51AA">
            <w:pPr>
              <w:jc w:val="right"/>
              <w:rPr>
                <w:rFonts w:ascii="Arial" w:hAnsi="Arial" w:cs="Arial"/>
                <w:sz w:val="18"/>
                <w:szCs w:val="18"/>
              </w:rPr>
            </w:pPr>
          </w:p>
        </w:tc>
        <w:tc>
          <w:tcPr>
            <w:tcW w:w="2354" w:type="dxa"/>
            <w:noWrap/>
            <w:hideMark/>
          </w:tcPr>
          <w:p w14:paraId="4C39C073" w14:textId="77777777" w:rsidR="008D2191" w:rsidRPr="004C51AA" w:rsidRDefault="008D2191" w:rsidP="004C51AA">
            <w:pPr>
              <w:jc w:val="right"/>
              <w:rPr>
                <w:rFonts w:ascii="Arial" w:hAnsi="Arial" w:cs="Arial"/>
                <w:sz w:val="18"/>
                <w:szCs w:val="18"/>
              </w:rPr>
            </w:pPr>
          </w:p>
        </w:tc>
        <w:tc>
          <w:tcPr>
            <w:tcW w:w="2410" w:type="dxa"/>
            <w:noWrap/>
            <w:hideMark/>
          </w:tcPr>
          <w:p w14:paraId="5E98D7F0"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35020B" w:rsidRPr="004C51AA" w14:paraId="60EF4947" w14:textId="77777777" w:rsidTr="008E15C2">
        <w:trPr>
          <w:trHeight w:val="300"/>
        </w:trPr>
        <w:tc>
          <w:tcPr>
            <w:tcW w:w="3286" w:type="dxa"/>
            <w:noWrap/>
            <w:hideMark/>
          </w:tcPr>
          <w:p w14:paraId="42F2BE8A" w14:textId="77777777" w:rsidR="008D2191" w:rsidRPr="004C51AA" w:rsidRDefault="008D2191" w:rsidP="00820515">
            <w:pPr>
              <w:rPr>
                <w:rFonts w:ascii="Arial" w:hAnsi="Arial" w:cs="Arial"/>
                <w:sz w:val="18"/>
                <w:szCs w:val="18"/>
              </w:rPr>
            </w:pPr>
            <w:r w:rsidRPr="004C51AA">
              <w:rPr>
                <w:rFonts w:ascii="Arial" w:hAnsi="Arial" w:cs="Arial"/>
                <w:sz w:val="18"/>
                <w:szCs w:val="18"/>
              </w:rPr>
              <w:t>Cuba Donation</w:t>
            </w:r>
          </w:p>
        </w:tc>
        <w:tc>
          <w:tcPr>
            <w:tcW w:w="2607" w:type="dxa"/>
            <w:noWrap/>
            <w:hideMark/>
          </w:tcPr>
          <w:p w14:paraId="75848DF8" w14:textId="519B19D4" w:rsidR="008D2191" w:rsidRPr="004C51AA" w:rsidRDefault="008D2191" w:rsidP="004C51AA">
            <w:pPr>
              <w:jc w:val="right"/>
              <w:rPr>
                <w:rFonts w:ascii="Arial" w:hAnsi="Arial" w:cs="Arial"/>
                <w:sz w:val="18"/>
                <w:szCs w:val="18"/>
              </w:rPr>
            </w:pPr>
            <w:r w:rsidRPr="004C51AA">
              <w:rPr>
                <w:rFonts w:ascii="Arial" w:hAnsi="Arial" w:cs="Arial"/>
                <w:sz w:val="18"/>
                <w:szCs w:val="18"/>
              </w:rPr>
              <w:t>50 000 000</w:t>
            </w:r>
          </w:p>
        </w:tc>
        <w:tc>
          <w:tcPr>
            <w:tcW w:w="2354" w:type="dxa"/>
            <w:noWrap/>
            <w:hideMark/>
          </w:tcPr>
          <w:p w14:paraId="79475B20" w14:textId="22DA651C" w:rsidR="008D2191" w:rsidRPr="004C51AA" w:rsidRDefault="008D2191" w:rsidP="004C51AA">
            <w:pPr>
              <w:jc w:val="right"/>
              <w:rPr>
                <w:rFonts w:ascii="Arial" w:hAnsi="Arial" w:cs="Arial"/>
                <w:sz w:val="18"/>
                <w:szCs w:val="18"/>
              </w:rPr>
            </w:pPr>
            <w:r w:rsidRPr="004C51AA">
              <w:rPr>
                <w:rFonts w:ascii="Arial" w:hAnsi="Arial" w:cs="Arial"/>
                <w:sz w:val="18"/>
                <w:szCs w:val="18"/>
              </w:rPr>
              <w:t>0</w:t>
            </w:r>
          </w:p>
        </w:tc>
        <w:tc>
          <w:tcPr>
            <w:tcW w:w="2410" w:type="dxa"/>
            <w:noWrap/>
            <w:hideMark/>
          </w:tcPr>
          <w:p w14:paraId="417FDA87" w14:textId="5841E974" w:rsidR="008D2191" w:rsidRPr="004C51AA" w:rsidRDefault="008D2191" w:rsidP="004C51AA">
            <w:pPr>
              <w:jc w:val="right"/>
              <w:rPr>
                <w:rFonts w:ascii="Arial" w:hAnsi="Arial" w:cs="Arial"/>
                <w:sz w:val="18"/>
                <w:szCs w:val="18"/>
              </w:rPr>
            </w:pPr>
            <w:r w:rsidRPr="004C51AA">
              <w:rPr>
                <w:rFonts w:ascii="Arial" w:hAnsi="Arial" w:cs="Arial"/>
                <w:sz w:val="18"/>
                <w:szCs w:val="18"/>
              </w:rPr>
              <w:t>0</w:t>
            </w:r>
          </w:p>
        </w:tc>
      </w:tr>
      <w:tr w:rsidR="0035020B" w:rsidRPr="004C51AA" w14:paraId="6F52E93C" w14:textId="77777777" w:rsidTr="008E15C2">
        <w:trPr>
          <w:trHeight w:val="300"/>
        </w:trPr>
        <w:tc>
          <w:tcPr>
            <w:tcW w:w="3286" w:type="dxa"/>
            <w:noWrap/>
            <w:hideMark/>
          </w:tcPr>
          <w:p w14:paraId="56DB19A2" w14:textId="77777777" w:rsidR="008D2191" w:rsidRPr="004C51AA" w:rsidRDefault="008D2191" w:rsidP="00820515">
            <w:pPr>
              <w:rPr>
                <w:rFonts w:ascii="Arial" w:hAnsi="Arial" w:cs="Arial"/>
                <w:sz w:val="18"/>
                <w:szCs w:val="18"/>
              </w:rPr>
            </w:pPr>
            <w:r w:rsidRPr="004C51AA">
              <w:rPr>
                <w:rFonts w:ascii="Arial" w:hAnsi="Arial" w:cs="Arial"/>
                <w:sz w:val="18"/>
                <w:szCs w:val="18"/>
              </w:rPr>
              <w:t> </w:t>
            </w:r>
          </w:p>
        </w:tc>
        <w:tc>
          <w:tcPr>
            <w:tcW w:w="2607" w:type="dxa"/>
            <w:noWrap/>
            <w:hideMark/>
          </w:tcPr>
          <w:p w14:paraId="2E734AD2" w14:textId="77777777" w:rsidR="008D2191" w:rsidRPr="004C51AA" w:rsidRDefault="008D2191" w:rsidP="004C51AA">
            <w:pPr>
              <w:jc w:val="right"/>
              <w:rPr>
                <w:rFonts w:ascii="Arial" w:hAnsi="Arial" w:cs="Arial"/>
                <w:sz w:val="18"/>
                <w:szCs w:val="18"/>
              </w:rPr>
            </w:pPr>
          </w:p>
        </w:tc>
        <w:tc>
          <w:tcPr>
            <w:tcW w:w="2354" w:type="dxa"/>
            <w:noWrap/>
            <w:hideMark/>
          </w:tcPr>
          <w:p w14:paraId="180A3481" w14:textId="77777777" w:rsidR="008D2191" w:rsidRPr="004C51AA" w:rsidRDefault="008D2191" w:rsidP="004C51AA">
            <w:pPr>
              <w:jc w:val="right"/>
              <w:rPr>
                <w:rFonts w:ascii="Arial" w:hAnsi="Arial" w:cs="Arial"/>
                <w:sz w:val="18"/>
                <w:szCs w:val="18"/>
              </w:rPr>
            </w:pPr>
          </w:p>
        </w:tc>
        <w:tc>
          <w:tcPr>
            <w:tcW w:w="2410" w:type="dxa"/>
            <w:noWrap/>
            <w:hideMark/>
          </w:tcPr>
          <w:p w14:paraId="5A8D0703" w14:textId="77777777" w:rsidR="008D2191" w:rsidRPr="004C51AA" w:rsidRDefault="008D2191" w:rsidP="004C51AA">
            <w:pPr>
              <w:jc w:val="right"/>
              <w:rPr>
                <w:rFonts w:ascii="Arial" w:hAnsi="Arial" w:cs="Arial"/>
                <w:sz w:val="18"/>
                <w:szCs w:val="18"/>
              </w:rPr>
            </w:pPr>
            <w:r w:rsidRPr="004C51AA">
              <w:rPr>
                <w:rFonts w:ascii="Arial" w:hAnsi="Arial" w:cs="Arial"/>
                <w:sz w:val="18"/>
                <w:szCs w:val="18"/>
              </w:rPr>
              <w:t> </w:t>
            </w:r>
          </w:p>
        </w:tc>
      </w:tr>
      <w:tr w:rsidR="00DE55ED" w:rsidRPr="004C51AA" w14:paraId="4CF753EE" w14:textId="77777777" w:rsidTr="008E15C2">
        <w:trPr>
          <w:trHeight w:val="615"/>
        </w:trPr>
        <w:tc>
          <w:tcPr>
            <w:tcW w:w="3286" w:type="dxa"/>
            <w:hideMark/>
          </w:tcPr>
          <w:p w14:paraId="5ACA9942" w14:textId="3ED7E467" w:rsidR="008D2191" w:rsidRPr="004C51AA" w:rsidRDefault="008D2191" w:rsidP="00820515">
            <w:pPr>
              <w:rPr>
                <w:rFonts w:ascii="Arial" w:hAnsi="Arial" w:cs="Arial"/>
                <w:sz w:val="18"/>
                <w:szCs w:val="18"/>
              </w:rPr>
            </w:pPr>
            <w:r w:rsidRPr="004C51AA">
              <w:rPr>
                <w:rFonts w:ascii="Arial" w:hAnsi="Arial" w:cs="Arial"/>
                <w:sz w:val="18"/>
                <w:szCs w:val="18"/>
              </w:rPr>
              <w:t>Ministerial Departments Catering, Accommodation, and Entertainment</w:t>
            </w:r>
          </w:p>
        </w:tc>
        <w:tc>
          <w:tcPr>
            <w:tcW w:w="2607" w:type="dxa"/>
            <w:noWrap/>
            <w:hideMark/>
          </w:tcPr>
          <w:p w14:paraId="29665990" w14:textId="0E8356D6" w:rsidR="008D2191" w:rsidRPr="004C51AA" w:rsidRDefault="008D2191" w:rsidP="004C51AA">
            <w:pPr>
              <w:jc w:val="right"/>
              <w:rPr>
                <w:rFonts w:ascii="Arial" w:hAnsi="Arial" w:cs="Arial"/>
                <w:sz w:val="18"/>
                <w:szCs w:val="18"/>
              </w:rPr>
            </w:pPr>
            <w:r w:rsidRPr="004C51AA">
              <w:rPr>
                <w:rFonts w:ascii="Arial" w:hAnsi="Arial" w:cs="Arial"/>
                <w:sz w:val="18"/>
                <w:szCs w:val="18"/>
              </w:rPr>
              <w:t>2 735 000 000</w:t>
            </w:r>
          </w:p>
        </w:tc>
        <w:tc>
          <w:tcPr>
            <w:tcW w:w="2354" w:type="dxa"/>
            <w:noWrap/>
            <w:hideMark/>
          </w:tcPr>
          <w:p w14:paraId="5686A1F5" w14:textId="3DE632CD" w:rsidR="008D2191" w:rsidRPr="004C51AA" w:rsidRDefault="008D2191" w:rsidP="004C51AA">
            <w:pPr>
              <w:jc w:val="right"/>
              <w:rPr>
                <w:rFonts w:ascii="Arial" w:hAnsi="Arial" w:cs="Arial"/>
                <w:sz w:val="18"/>
                <w:szCs w:val="18"/>
              </w:rPr>
            </w:pPr>
            <w:r w:rsidRPr="004C51AA">
              <w:rPr>
                <w:rFonts w:ascii="Arial" w:hAnsi="Arial" w:cs="Arial"/>
                <w:sz w:val="18"/>
                <w:szCs w:val="18"/>
              </w:rPr>
              <w:t>2 735 000 000</w:t>
            </w:r>
          </w:p>
        </w:tc>
        <w:tc>
          <w:tcPr>
            <w:tcW w:w="2410" w:type="dxa"/>
            <w:noWrap/>
            <w:hideMark/>
          </w:tcPr>
          <w:p w14:paraId="06001A23" w14:textId="09BF7567" w:rsidR="008D2191" w:rsidRPr="004C51AA" w:rsidRDefault="008D2191" w:rsidP="004C51AA">
            <w:pPr>
              <w:jc w:val="right"/>
              <w:rPr>
                <w:rFonts w:ascii="Arial" w:hAnsi="Arial" w:cs="Arial"/>
                <w:sz w:val="18"/>
                <w:szCs w:val="18"/>
              </w:rPr>
            </w:pPr>
            <w:r w:rsidRPr="004C51AA">
              <w:rPr>
                <w:rFonts w:ascii="Arial" w:hAnsi="Arial" w:cs="Arial"/>
                <w:sz w:val="18"/>
                <w:szCs w:val="18"/>
              </w:rPr>
              <w:t>2 735 000 000</w:t>
            </w:r>
          </w:p>
        </w:tc>
      </w:tr>
    </w:tbl>
    <w:p w14:paraId="22C0DE25" w14:textId="5F55136D" w:rsidR="00F05570" w:rsidRDefault="00F05570" w:rsidP="00F05570">
      <w:pPr>
        <w:spacing w:after="0" w:line="240" w:lineRule="auto"/>
        <w:rPr>
          <w:rFonts w:ascii="Arial" w:hAnsi="Arial" w:cs="Arial"/>
          <w:sz w:val="18"/>
          <w:szCs w:val="18"/>
          <w:lang w:val="en-GB"/>
        </w:rPr>
      </w:pPr>
    </w:p>
    <w:sectPr w:rsidR="00F05570" w:rsidSect="00A147CE">
      <w:pgSz w:w="11906" w:h="16838" w:code="9"/>
      <w:pgMar w:top="1440" w:right="1134" w:bottom="1440" w:left="765"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8798E" w14:textId="77777777" w:rsidR="000630AA" w:rsidRDefault="000630AA" w:rsidP="00824839">
      <w:pPr>
        <w:spacing w:after="0" w:line="240" w:lineRule="auto"/>
      </w:pPr>
      <w:r>
        <w:separator/>
      </w:r>
    </w:p>
  </w:endnote>
  <w:endnote w:type="continuationSeparator" w:id="0">
    <w:p w14:paraId="289B6DB2" w14:textId="77777777" w:rsidR="000630AA" w:rsidRDefault="000630AA" w:rsidP="0082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780010"/>
      <w:docPartObj>
        <w:docPartGallery w:val="Page Numbers (Bottom of Page)"/>
        <w:docPartUnique/>
      </w:docPartObj>
    </w:sdtPr>
    <w:sdtEndPr>
      <w:rPr>
        <w:noProof/>
      </w:rPr>
    </w:sdtEndPr>
    <w:sdtContent>
      <w:p w14:paraId="122AC933" w14:textId="686F953E" w:rsidR="001E040F" w:rsidRDefault="001E04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022D42" w14:textId="2F548F69" w:rsidR="00824839" w:rsidRPr="00FE1AF9" w:rsidRDefault="00824839" w:rsidP="00E328E0">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3FC6" w14:textId="77777777" w:rsidR="00FE1AF9" w:rsidRDefault="00FE1AF9" w:rsidP="00FE1A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E90F4" w14:textId="77777777" w:rsidR="000630AA" w:rsidRDefault="000630AA" w:rsidP="00824839">
      <w:pPr>
        <w:spacing w:after="0" w:line="240" w:lineRule="auto"/>
      </w:pPr>
      <w:r>
        <w:separator/>
      </w:r>
    </w:p>
  </w:footnote>
  <w:footnote w:type="continuationSeparator" w:id="0">
    <w:p w14:paraId="37687A30" w14:textId="77777777" w:rsidR="000630AA" w:rsidRDefault="000630AA" w:rsidP="00824839">
      <w:pPr>
        <w:spacing w:after="0" w:line="240" w:lineRule="auto"/>
      </w:pPr>
      <w:r>
        <w:continuationSeparator/>
      </w:r>
    </w:p>
  </w:footnote>
  <w:footnote w:id="1">
    <w:p w14:paraId="518FE719" w14:textId="77777777" w:rsidR="004168D5" w:rsidRPr="00CF172D" w:rsidRDefault="004168D5" w:rsidP="004168D5">
      <w:pPr>
        <w:pStyle w:val="FootnoteText"/>
      </w:pPr>
      <w:r>
        <w:rPr>
          <w:rStyle w:val="FootnoteReference"/>
        </w:rPr>
        <w:footnoteRef/>
      </w:r>
      <w:r>
        <w:t xml:space="preserve"> </w:t>
      </w:r>
      <w:r>
        <w:rPr>
          <w:rStyle w:val="author"/>
        </w:rPr>
        <w:t xml:space="preserve">Ludena, CM. 2022. </w:t>
      </w:r>
      <w:r w:rsidRPr="00CF172D">
        <w:rPr>
          <w:rStyle w:val="author"/>
        </w:rPr>
        <w:t>Q3 2022 Emerging Markets Outlook</w:t>
      </w:r>
      <w:r>
        <w:rPr>
          <w:rStyle w:val="author"/>
        </w:rPr>
        <w:t xml:space="preserve">: </w:t>
      </w:r>
      <w:r w:rsidRPr="00CF172D">
        <w:rPr>
          <w:rStyle w:val="author"/>
        </w:rPr>
        <w:t>Stagflation fears new set-back for sustainability</w:t>
      </w:r>
      <w:r>
        <w:rPr>
          <w:rStyle w:val="author"/>
        </w:rPr>
        <w:t xml:space="preserve">. </w:t>
      </w:r>
      <w:proofErr w:type="spellStart"/>
      <w:r w:rsidRPr="00CF172D">
        <w:rPr>
          <w:rStyle w:val="author"/>
          <w:i/>
          <w:iCs/>
        </w:rPr>
        <w:t>Triodos</w:t>
      </w:r>
      <w:proofErr w:type="spellEnd"/>
      <w:r w:rsidRPr="00CF172D">
        <w:rPr>
          <w:rStyle w:val="author"/>
          <w:i/>
          <w:iCs/>
        </w:rPr>
        <w:t xml:space="preserve"> Investment Management</w:t>
      </w:r>
      <w:r>
        <w:rPr>
          <w:rStyle w:val="author"/>
        </w:rPr>
        <w:t xml:space="preserve">. </w:t>
      </w:r>
      <w:r w:rsidRPr="00CF172D">
        <w:rPr>
          <w:rStyle w:val="author"/>
        </w:rPr>
        <w:t>https://www.triodos-im.com/articles/2022/q3-2022-emerging-markets-outlook</w:t>
      </w:r>
    </w:p>
  </w:footnote>
  <w:footnote w:id="2">
    <w:p w14:paraId="18A1966E" w14:textId="77777777" w:rsidR="004168D5" w:rsidRPr="00CF172D" w:rsidRDefault="004168D5" w:rsidP="004168D5">
      <w:pPr>
        <w:pStyle w:val="FootnoteText"/>
      </w:pPr>
      <w:r>
        <w:rPr>
          <w:rStyle w:val="FootnoteReference"/>
        </w:rPr>
        <w:footnoteRef/>
      </w:r>
      <w:r>
        <w:t xml:space="preserve"> National Treasury. 2022. Budget Speech by the Minister of Finance 2022. </w:t>
      </w:r>
      <w:r w:rsidRPr="00A37AFE">
        <w:t>http://www.treasury.gov.za/documents/national%20budget/2022/review/FullBR.pdf</w:t>
      </w:r>
    </w:p>
  </w:footnote>
  <w:footnote w:id="3">
    <w:p w14:paraId="0A14C677" w14:textId="10449BD8" w:rsidR="004168D5" w:rsidRPr="00006726" w:rsidRDefault="004168D5" w:rsidP="004168D5">
      <w:pPr>
        <w:pStyle w:val="FootnoteText"/>
      </w:pPr>
      <w:r>
        <w:rPr>
          <w:rStyle w:val="FootnoteReference"/>
        </w:rPr>
        <w:footnoteRef/>
      </w:r>
      <w:r>
        <w:t xml:space="preserve"> South African Reserve Bank.</w:t>
      </w:r>
      <w:r w:rsidR="007E36A7">
        <w:t xml:space="preserve"> September,</w:t>
      </w:r>
      <w:r>
        <w:t xml:space="preserve"> 2022.  </w:t>
      </w:r>
      <w:r w:rsidR="007E36A7">
        <w:t>S</w:t>
      </w:r>
      <w:r w:rsidR="007E36A7" w:rsidRPr="00006726">
        <w:t xml:space="preserve">tatement </w:t>
      </w:r>
      <w:r w:rsidR="00282845">
        <w:t>by</w:t>
      </w:r>
      <w:r w:rsidR="007E36A7" w:rsidRPr="00006726">
        <w:t xml:space="preserve"> </w:t>
      </w:r>
      <w:r w:rsidR="007E36A7">
        <w:t>t</w:t>
      </w:r>
      <w:r w:rsidR="007E36A7" w:rsidRPr="00006726">
        <w:t xml:space="preserve">he Monetary </w:t>
      </w:r>
      <w:r w:rsidRPr="00006726">
        <w:t>Policy Committee</w:t>
      </w:r>
      <w:r w:rsidR="007E36A7">
        <w:t>.</w:t>
      </w:r>
    </w:p>
  </w:footnote>
  <w:footnote w:id="4">
    <w:p w14:paraId="5A0E882A" w14:textId="77777777" w:rsidR="004168D5" w:rsidRPr="00006726" w:rsidRDefault="004168D5" w:rsidP="004168D5">
      <w:pPr>
        <w:pStyle w:val="FootnoteText"/>
      </w:pPr>
      <w:r>
        <w:rPr>
          <w:rStyle w:val="FootnoteReference"/>
        </w:rPr>
        <w:footnoteRef/>
      </w:r>
      <w:r>
        <w:t xml:space="preserve"> </w:t>
      </w:r>
      <w:proofErr w:type="spellStart"/>
      <w:r>
        <w:t>Moneyweb</w:t>
      </w:r>
      <w:proofErr w:type="spellEnd"/>
      <w:r>
        <w:t>. 2022.</w:t>
      </w:r>
      <w:r w:rsidRPr="003B28F5">
        <w:t xml:space="preserve"> No end in sight as load shedding nightmare worsens</w:t>
      </w:r>
      <w:r>
        <w:t xml:space="preserve">. </w:t>
      </w:r>
      <w:r w:rsidRPr="00006726">
        <w:t>https://www.moneyweb.co.za/news/south-africa/no-end-in-sight-as-load-shedding-nightmare-worsens/</w:t>
      </w:r>
    </w:p>
  </w:footnote>
  <w:footnote w:id="5">
    <w:p w14:paraId="7A8A914A" w14:textId="77777777" w:rsidR="004168D5" w:rsidRPr="00D71304" w:rsidRDefault="004168D5" w:rsidP="004168D5">
      <w:pPr>
        <w:pStyle w:val="FootnoteText"/>
      </w:pPr>
      <w:r>
        <w:rPr>
          <w:rStyle w:val="FootnoteReference"/>
        </w:rPr>
        <w:footnoteRef/>
      </w:r>
      <w:r>
        <w:t xml:space="preserve"> Democratic Alliance. </w:t>
      </w:r>
      <w:r w:rsidRPr="00D71304">
        <w:t>https://www.da.org.za/powertothepeople</w:t>
      </w:r>
    </w:p>
  </w:footnote>
  <w:footnote w:id="6">
    <w:p w14:paraId="30F4C283" w14:textId="77777777" w:rsidR="004168D5" w:rsidRPr="00AE3C5A" w:rsidRDefault="004168D5" w:rsidP="004168D5">
      <w:pPr>
        <w:pStyle w:val="FootnoteText"/>
      </w:pPr>
      <w:r>
        <w:rPr>
          <w:rStyle w:val="FootnoteReference"/>
        </w:rPr>
        <w:footnoteRef/>
      </w:r>
      <w:proofErr w:type="spellStart"/>
      <w:r>
        <w:t>Moneyweb</w:t>
      </w:r>
      <w:proofErr w:type="spellEnd"/>
      <w:r>
        <w:t xml:space="preserve">. 2022. </w:t>
      </w:r>
      <w:r w:rsidRPr="00AE3C5A">
        <w:t>Rail shambles is as big a problem to SA as load shedding</w:t>
      </w:r>
      <w:r>
        <w:t xml:space="preserve">.  </w:t>
      </w:r>
      <w:r w:rsidRPr="00AE3C5A">
        <w:t>https://www.moneyweb.co.za/news/industry/sas-rail-shambles-is-as-big-a-problem-to-sa-as-load-shedding/</w:t>
      </w:r>
    </w:p>
  </w:footnote>
  <w:footnote w:id="7">
    <w:p w14:paraId="63562DED" w14:textId="77777777" w:rsidR="001677AD" w:rsidRPr="00240EF2" w:rsidRDefault="001677AD" w:rsidP="001677AD">
      <w:pPr>
        <w:pStyle w:val="FootnoteText"/>
      </w:pPr>
      <w:r>
        <w:rPr>
          <w:rStyle w:val="FootnoteReference"/>
        </w:rPr>
        <w:footnoteRef/>
      </w:r>
      <w:r>
        <w:t xml:space="preserve"> Steenkamp, D., Hollander, H. 2022.</w:t>
      </w:r>
      <w:r w:rsidRPr="00240EF2">
        <w:t xml:space="preserve"> The macroeconomics of establishing a basic income grant in South Africa</w:t>
      </w:r>
      <w:r>
        <w:t xml:space="preserve">. </w:t>
      </w:r>
      <w:r>
        <w:rPr>
          <w:i/>
          <w:iCs/>
        </w:rPr>
        <w:t>Economic Research Southern Africa.</w:t>
      </w:r>
      <w:r>
        <w:t xml:space="preserve"> </w:t>
      </w:r>
      <w:r w:rsidRPr="00240EF2">
        <w:t>https://econrsa.org/publications/the-macroeconomics-of-establishing-a-basic-income-grant-in-south-africa/</w:t>
      </w:r>
    </w:p>
  </w:footnote>
  <w:footnote w:id="8">
    <w:p w14:paraId="354E6421" w14:textId="3B62EC14" w:rsidR="001677AD" w:rsidRPr="001677AD" w:rsidRDefault="001677AD">
      <w:pPr>
        <w:pStyle w:val="FootnoteText"/>
        <w:rPr>
          <w:lang w:val="en-US"/>
        </w:rPr>
      </w:pPr>
      <w:r>
        <w:rPr>
          <w:rStyle w:val="FootnoteReference"/>
        </w:rPr>
        <w:footnoteRef/>
      </w:r>
      <w:r>
        <w:t xml:space="preserve"> </w:t>
      </w:r>
      <w:r>
        <w:rPr>
          <w:lang w:val="en-US"/>
        </w:rPr>
        <w:t xml:space="preserve">Montalto, P. 2021. </w:t>
      </w:r>
      <w:r>
        <w:t xml:space="preserve">What funding options are possible for BIG? </w:t>
      </w:r>
      <w:proofErr w:type="spellStart"/>
      <w:r>
        <w:rPr>
          <w:i/>
          <w:iCs/>
        </w:rPr>
        <w:t>Intellidex</w:t>
      </w:r>
      <w:proofErr w:type="spellEnd"/>
      <w:r>
        <w:rPr>
          <w:i/>
          <w:iCs/>
        </w:rPr>
        <w:t xml:space="preserve">. </w:t>
      </w:r>
      <w:r w:rsidRPr="001677AD">
        <w:rPr>
          <w:lang w:val="en-US"/>
        </w:rPr>
        <w:t>https://www.intellidex.co.za/reports/what-funding-options-are-possible-for-big/</w:t>
      </w:r>
    </w:p>
  </w:footnote>
  <w:footnote w:id="9">
    <w:p w14:paraId="296FD030" w14:textId="77777777" w:rsidR="004168D5" w:rsidRPr="00542038" w:rsidRDefault="004168D5" w:rsidP="004168D5">
      <w:pPr>
        <w:pStyle w:val="FootnoteText"/>
      </w:pPr>
      <w:r>
        <w:rPr>
          <w:rStyle w:val="FootnoteReference"/>
        </w:rPr>
        <w:footnoteRef/>
      </w:r>
      <w:r>
        <w:t xml:space="preserve"> Democratic Alliance. </w:t>
      </w:r>
      <w:r w:rsidRPr="00542038">
        <w:t>https://www.slashfuelprices.co.za/</w:t>
      </w:r>
    </w:p>
  </w:footnote>
  <w:footnote w:id="10">
    <w:p w14:paraId="41927F8E" w14:textId="77777777" w:rsidR="004168D5" w:rsidRPr="00542038" w:rsidRDefault="004168D5" w:rsidP="004168D5">
      <w:pPr>
        <w:pStyle w:val="FootnoteText"/>
      </w:pPr>
      <w:r>
        <w:rPr>
          <w:rStyle w:val="FootnoteReference"/>
        </w:rPr>
        <w:footnoteRef/>
      </w:r>
      <w:r>
        <w:t xml:space="preserve"> Democratic Alliance. </w:t>
      </w:r>
      <w:r w:rsidRPr="00542038">
        <w:t>https://www.cutfoodcosts.co.za/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D9E0" w14:textId="4582BB56" w:rsidR="00886577" w:rsidRDefault="00000000">
    <w:pPr>
      <w:pStyle w:val="Header"/>
    </w:pPr>
    <w:r>
      <w:rPr>
        <w:noProof/>
      </w:rPr>
      <w:pict w14:anchorId="4E3AEC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139673" o:spid="_x0000_s1027" type="#_x0000_t136" alt="" style="position:absolute;margin-left:0;margin-top:0;width:462.75pt;height:173.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INTER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2DBC" w14:textId="091314C0" w:rsidR="00824839" w:rsidRPr="00FE1AF9" w:rsidRDefault="00824839" w:rsidP="00FE1AF9">
    <w:pPr>
      <w:pStyle w:val="Header"/>
      <w:jc w:val="center"/>
      <w:rPr>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6A2"/>
    <w:multiLevelType w:val="hybridMultilevel"/>
    <w:tmpl w:val="7DBC25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BF72D85"/>
    <w:multiLevelType w:val="multilevel"/>
    <w:tmpl w:val="9BAA5F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08566E0"/>
    <w:multiLevelType w:val="multilevel"/>
    <w:tmpl w:val="B868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D2319"/>
    <w:multiLevelType w:val="hybridMultilevel"/>
    <w:tmpl w:val="6D1E7DFE"/>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C1724"/>
    <w:multiLevelType w:val="hybridMultilevel"/>
    <w:tmpl w:val="D9787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F0BFA"/>
    <w:multiLevelType w:val="hybridMultilevel"/>
    <w:tmpl w:val="7DBC25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3753AF"/>
    <w:multiLevelType w:val="multilevel"/>
    <w:tmpl w:val="41E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32854"/>
    <w:multiLevelType w:val="hybridMultilevel"/>
    <w:tmpl w:val="681ECCFA"/>
    <w:lvl w:ilvl="0" w:tplc="C4081EF8">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DD6CD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A26BD4"/>
    <w:multiLevelType w:val="hybridMultilevel"/>
    <w:tmpl w:val="FCF03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F290B"/>
    <w:multiLevelType w:val="hybridMultilevel"/>
    <w:tmpl w:val="01AECA68"/>
    <w:lvl w:ilvl="0" w:tplc="80F823D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4529FD"/>
    <w:multiLevelType w:val="hybridMultilevel"/>
    <w:tmpl w:val="CA3E3EEC"/>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CA1C9A"/>
    <w:multiLevelType w:val="hybridMultilevel"/>
    <w:tmpl w:val="3F980B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56418"/>
    <w:multiLevelType w:val="multilevel"/>
    <w:tmpl w:val="817A9E8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7D5681"/>
    <w:multiLevelType w:val="multilevel"/>
    <w:tmpl w:val="C638F6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C54108"/>
    <w:multiLevelType w:val="multilevel"/>
    <w:tmpl w:val="420E74B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2C0D1C"/>
    <w:multiLevelType w:val="hybridMultilevel"/>
    <w:tmpl w:val="5142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C729B"/>
    <w:multiLevelType w:val="hybridMultilevel"/>
    <w:tmpl w:val="08F05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404F6A"/>
    <w:multiLevelType w:val="hybridMultilevel"/>
    <w:tmpl w:val="AA2037D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5C30F01"/>
    <w:multiLevelType w:val="hybridMultilevel"/>
    <w:tmpl w:val="BC36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D7DE3"/>
    <w:multiLevelType w:val="multilevel"/>
    <w:tmpl w:val="FF4214FC"/>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1" w15:restartNumberingAfterBreak="0">
    <w:nsid w:val="49F322FB"/>
    <w:multiLevelType w:val="hybridMultilevel"/>
    <w:tmpl w:val="723A9C8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510A3DAF"/>
    <w:multiLevelType w:val="hybridMultilevel"/>
    <w:tmpl w:val="2CC6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FF4A84"/>
    <w:multiLevelType w:val="hybridMultilevel"/>
    <w:tmpl w:val="DE96BE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66B0616"/>
    <w:multiLevelType w:val="hybridMultilevel"/>
    <w:tmpl w:val="44E8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76DB7"/>
    <w:multiLevelType w:val="hybridMultilevel"/>
    <w:tmpl w:val="BE4AD7D8"/>
    <w:lvl w:ilvl="0" w:tplc="2EB06144">
      <w:start w:val="1"/>
      <w:numFmt w:val="bullet"/>
      <w:lvlText w:val=""/>
      <w:lvlJc w:val="left"/>
      <w:pPr>
        <w:ind w:left="720" w:hanging="360"/>
      </w:pPr>
      <w:rPr>
        <w:rFonts w:ascii="Arial" w:hAnsi="Arial" w:cs="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733A6"/>
    <w:multiLevelType w:val="hybridMultilevel"/>
    <w:tmpl w:val="F3E8BEBE"/>
    <w:lvl w:ilvl="0" w:tplc="02B8C010">
      <w:start w:val="1"/>
      <w:numFmt w:val="bullet"/>
      <w:lvlText w:val=""/>
      <w:lvlJc w:val="left"/>
      <w:pPr>
        <w:ind w:left="360" w:hanging="360"/>
      </w:pPr>
      <w:rPr>
        <w:rFonts w:ascii="Arial" w:hAnsi="Arial" w:cs="Aria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13217B"/>
    <w:multiLevelType w:val="hybridMultilevel"/>
    <w:tmpl w:val="18F0275A"/>
    <w:lvl w:ilvl="0" w:tplc="2EB06144">
      <w:start w:val="1"/>
      <w:numFmt w:val="bullet"/>
      <w:lvlText w:val=""/>
      <w:lvlJc w:val="left"/>
      <w:pPr>
        <w:ind w:left="720" w:hanging="360"/>
      </w:pPr>
      <w:rPr>
        <w:rFonts w:ascii="Arial" w:hAnsi="Arial" w:cs="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C306F"/>
    <w:multiLevelType w:val="hybridMultilevel"/>
    <w:tmpl w:val="8AE4B9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ABA378A"/>
    <w:multiLevelType w:val="hybridMultilevel"/>
    <w:tmpl w:val="C41C19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C2E5D74"/>
    <w:multiLevelType w:val="hybridMultilevel"/>
    <w:tmpl w:val="D18218F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6C9970E7"/>
    <w:multiLevelType w:val="hybridMultilevel"/>
    <w:tmpl w:val="40EAB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475CA0"/>
    <w:multiLevelType w:val="multilevel"/>
    <w:tmpl w:val="685065F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3" w15:restartNumberingAfterBreak="0">
    <w:nsid w:val="78EC55D6"/>
    <w:multiLevelType w:val="hybridMultilevel"/>
    <w:tmpl w:val="5248054E"/>
    <w:lvl w:ilvl="0" w:tplc="1C09000F">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B1A612C"/>
    <w:multiLevelType w:val="hybridMultilevel"/>
    <w:tmpl w:val="7DBC2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F13289"/>
    <w:multiLevelType w:val="multilevel"/>
    <w:tmpl w:val="9BAA5F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4558725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37367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94372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3383014">
    <w:abstractNumId w:val="7"/>
  </w:num>
  <w:num w:numId="5" w16cid:durableId="959872135">
    <w:abstractNumId w:val="35"/>
  </w:num>
  <w:num w:numId="6" w16cid:durableId="262109042">
    <w:abstractNumId w:val="1"/>
  </w:num>
  <w:num w:numId="7" w16cid:durableId="813595791">
    <w:abstractNumId w:val="4"/>
  </w:num>
  <w:num w:numId="8" w16cid:durableId="1688362384">
    <w:abstractNumId w:val="10"/>
  </w:num>
  <w:num w:numId="9" w16cid:durableId="453598227">
    <w:abstractNumId w:val="34"/>
  </w:num>
  <w:num w:numId="10" w16cid:durableId="1460998986">
    <w:abstractNumId w:val="0"/>
  </w:num>
  <w:num w:numId="11" w16cid:durableId="1636644282">
    <w:abstractNumId w:val="18"/>
  </w:num>
  <w:num w:numId="12" w16cid:durableId="1492520278">
    <w:abstractNumId w:val="20"/>
  </w:num>
  <w:num w:numId="13" w16cid:durableId="2014184960">
    <w:abstractNumId w:val="17"/>
  </w:num>
  <w:num w:numId="14" w16cid:durableId="1201480333">
    <w:abstractNumId w:val="5"/>
  </w:num>
  <w:num w:numId="15" w16cid:durableId="1919747499">
    <w:abstractNumId w:val="12"/>
  </w:num>
  <w:num w:numId="16" w16cid:durableId="148711568">
    <w:abstractNumId w:val="29"/>
  </w:num>
  <w:num w:numId="17" w16cid:durableId="111901090">
    <w:abstractNumId w:val="2"/>
  </w:num>
  <w:num w:numId="18" w16cid:durableId="2140104898">
    <w:abstractNumId w:val="15"/>
  </w:num>
  <w:num w:numId="19" w16cid:durableId="562524418">
    <w:abstractNumId w:val="27"/>
  </w:num>
  <w:num w:numId="20" w16cid:durableId="1897160522">
    <w:abstractNumId w:val="25"/>
  </w:num>
  <w:num w:numId="21" w16cid:durableId="488718524">
    <w:abstractNumId w:val="11"/>
  </w:num>
  <w:num w:numId="22" w16cid:durableId="2128545312">
    <w:abstractNumId w:val="6"/>
  </w:num>
  <w:num w:numId="23" w16cid:durableId="1337414801">
    <w:abstractNumId w:val="9"/>
  </w:num>
  <w:num w:numId="24" w16cid:durableId="1785953763">
    <w:abstractNumId w:val="23"/>
  </w:num>
  <w:num w:numId="25" w16cid:durableId="1824080973">
    <w:abstractNumId w:val="26"/>
  </w:num>
  <w:num w:numId="26" w16cid:durableId="1082917882">
    <w:abstractNumId w:val="3"/>
  </w:num>
  <w:num w:numId="27" w16cid:durableId="18626574">
    <w:abstractNumId w:val="19"/>
  </w:num>
  <w:num w:numId="28" w16cid:durableId="1829592607">
    <w:abstractNumId w:val="14"/>
  </w:num>
  <w:num w:numId="29" w16cid:durableId="1723141604">
    <w:abstractNumId w:val="28"/>
  </w:num>
  <w:num w:numId="30" w16cid:durableId="211769794">
    <w:abstractNumId w:val="33"/>
  </w:num>
  <w:num w:numId="31" w16cid:durableId="1971206701">
    <w:abstractNumId w:val="13"/>
  </w:num>
  <w:num w:numId="32" w16cid:durableId="1922518519">
    <w:abstractNumId w:val="8"/>
  </w:num>
  <w:num w:numId="33" w16cid:durableId="693384559">
    <w:abstractNumId w:val="16"/>
  </w:num>
  <w:num w:numId="34" w16cid:durableId="1465004758">
    <w:abstractNumId w:val="22"/>
  </w:num>
  <w:num w:numId="35" w16cid:durableId="374355701">
    <w:abstractNumId w:val="31"/>
  </w:num>
  <w:num w:numId="36" w16cid:durableId="212619257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Nzc2MTI0MzcwMDBW0lEKTi0uzszPAykwqgUAO4j/vSwAAAA="/>
  </w:docVars>
  <w:rsids>
    <w:rsidRoot w:val="00824839"/>
    <w:rsid w:val="000055B0"/>
    <w:rsid w:val="00027F34"/>
    <w:rsid w:val="000358DB"/>
    <w:rsid w:val="000630AA"/>
    <w:rsid w:val="000665E7"/>
    <w:rsid w:val="00066DB9"/>
    <w:rsid w:val="000676F4"/>
    <w:rsid w:val="00084655"/>
    <w:rsid w:val="000F2653"/>
    <w:rsid w:val="00121AC6"/>
    <w:rsid w:val="001354E9"/>
    <w:rsid w:val="00145B50"/>
    <w:rsid w:val="001677AD"/>
    <w:rsid w:val="00175D74"/>
    <w:rsid w:val="00186D83"/>
    <w:rsid w:val="00196576"/>
    <w:rsid w:val="001B7CD6"/>
    <w:rsid w:val="001D47D6"/>
    <w:rsid w:val="001E040F"/>
    <w:rsid w:val="001F1206"/>
    <w:rsid w:val="001F1F95"/>
    <w:rsid w:val="00203CE7"/>
    <w:rsid w:val="002730A5"/>
    <w:rsid w:val="00282845"/>
    <w:rsid w:val="002A103F"/>
    <w:rsid w:val="002B3FF1"/>
    <w:rsid w:val="002C0D01"/>
    <w:rsid w:val="002C2BA6"/>
    <w:rsid w:val="002C5426"/>
    <w:rsid w:val="002C5AD8"/>
    <w:rsid w:val="002F629C"/>
    <w:rsid w:val="00303242"/>
    <w:rsid w:val="00326BB4"/>
    <w:rsid w:val="0033346C"/>
    <w:rsid w:val="0034597D"/>
    <w:rsid w:val="0035020B"/>
    <w:rsid w:val="0036133E"/>
    <w:rsid w:val="00370673"/>
    <w:rsid w:val="00390980"/>
    <w:rsid w:val="003B35C5"/>
    <w:rsid w:val="003D098B"/>
    <w:rsid w:val="003D3826"/>
    <w:rsid w:val="003D4C9F"/>
    <w:rsid w:val="003D7DAC"/>
    <w:rsid w:val="003E269B"/>
    <w:rsid w:val="003E5A25"/>
    <w:rsid w:val="003E7011"/>
    <w:rsid w:val="003F51C6"/>
    <w:rsid w:val="0041449E"/>
    <w:rsid w:val="004168D5"/>
    <w:rsid w:val="004279D1"/>
    <w:rsid w:val="00440805"/>
    <w:rsid w:val="00463DEC"/>
    <w:rsid w:val="004A51FB"/>
    <w:rsid w:val="004C51AA"/>
    <w:rsid w:val="004D2908"/>
    <w:rsid w:val="004E57F2"/>
    <w:rsid w:val="004F2BF0"/>
    <w:rsid w:val="005144B4"/>
    <w:rsid w:val="00533A96"/>
    <w:rsid w:val="005359ED"/>
    <w:rsid w:val="00573B10"/>
    <w:rsid w:val="00585B62"/>
    <w:rsid w:val="00591C0A"/>
    <w:rsid w:val="005A4440"/>
    <w:rsid w:val="005C16BF"/>
    <w:rsid w:val="005C5296"/>
    <w:rsid w:val="005D005A"/>
    <w:rsid w:val="005D0092"/>
    <w:rsid w:val="005E02F3"/>
    <w:rsid w:val="005E7567"/>
    <w:rsid w:val="00603B16"/>
    <w:rsid w:val="00610349"/>
    <w:rsid w:val="00626E9F"/>
    <w:rsid w:val="00637CED"/>
    <w:rsid w:val="00683111"/>
    <w:rsid w:val="006A4824"/>
    <w:rsid w:val="006B7129"/>
    <w:rsid w:val="006F46CD"/>
    <w:rsid w:val="007050CE"/>
    <w:rsid w:val="00740561"/>
    <w:rsid w:val="00743C5B"/>
    <w:rsid w:val="0075092A"/>
    <w:rsid w:val="00777720"/>
    <w:rsid w:val="007A0087"/>
    <w:rsid w:val="007A3A4B"/>
    <w:rsid w:val="007B71D7"/>
    <w:rsid w:val="007C7ABE"/>
    <w:rsid w:val="007E36A7"/>
    <w:rsid w:val="007F37D9"/>
    <w:rsid w:val="00804E02"/>
    <w:rsid w:val="00805D64"/>
    <w:rsid w:val="00820515"/>
    <w:rsid w:val="00820CD4"/>
    <w:rsid w:val="00824839"/>
    <w:rsid w:val="00831614"/>
    <w:rsid w:val="0083482E"/>
    <w:rsid w:val="00880669"/>
    <w:rsid w:val="00884097"/>
    <w:rsid w:val="00886577"/>
    <w:rsid w:val="00891087"/>
    <w:rsid w:val="008A4F17"/>
    <w:rsid w:val="008B4DF5"/>
    <w:rsid w:val="008C7190"/>
    <w:rsid w:val="008D2191"/>
    <w:rsid w:val="008E0827"/>
    <w:rsid w:val="008E15C2"/>
    <w:rsid w:val="009201CD"/>
    <w:rsid w:val="009303C1"/>
    <w:rsid w:val="00933E22"/>
    <w:rsid w:val="00943B94"/>
    <w:rsid w:val="009A5C8E"/>
    <w:rsid w:val="009C7805"/>
    <w:rsid w:val="009E1FAD"/>
    <w:rsid w:val="009F7B7B"/>
    <w:rsid w:val="00A10F5A"/>
    <w:rsid w:val="00A11826"/>
    <w:rsid w:val="00A147CE"/>
    <w:rsid w:val="00A1610F"/>
    <w:rsid w:val="00A36C9E"/>
    <w:rsid w:val="00A43677"/>
    <w:rsid w:val="00A63ABB"/>
    <w:rsid w:val="00A664A7"/>
    <w:rsid w:val="00A84E1A"/>
    <w:rsid w:val="00AB4069"/>
    <w:rsid w:val="00AD2194"/>
    <w:rsid w:val="00AD387A"/>
    <w:rsid w:val="00AE5C1D"/>
    <w:rsid w:val="00AE67EC"/>
    <w:rsid w:val="00AF4604"/>
    <w:rsid w:val="00B11456"/>
    <w:rsid w:val="00B93926"/>
    <w:rsid w:val="00BB0A82"/>
    <w:rsid w:val="00BD5A97"/>
    <w:rsid w:val="00C34C76"/>
    <w:rsid w:val="00C549E0"/>
    <w:rsid w:val="00C6792A"/>
    <w:rsid w:val="00C7169E"/>
    <w:rsid w:val="00C810C2"/>
    <w:rsid w:val="00C868FC"/>
    <w:rsid w:val="00CB2540"/>
    <w:rsid w:val="00CC136F"/>
    <w:rsid w:val="00CC178D"/>
    <w:rsid w:val="00CC6679"/>
    <w:rsid w:val="00CE16A5"/>
    <w:rsid w:val="00CE460B"/>
    <w:rsid w:val="00D058D0"/>
    <w:rsid w:val="00D068CA"/>
    <w:rsid w:val="00D14CC0"/>
    <w:rsid w:val="00D272ED"/>
    <w:rsid w:val="00D333FB"/>
    <w:rsid w:val="00D46ECA"/>
    <w:rsid w:val="00D51539"/>
    <w:rsid w:val="00DA358B"/>
    <w:rsid w:val="00DA3B82"/>
    <w:rsid w:val="00DD15A7"/>
    <w:rsid w:val="00DE1078"/>
    <w:rsid w:val="00DE55ED"/>
    <w:rsid w:val="00DF1104"/>
    <w:rsid w:val="00DF3D0B"/>
    <w:rsid w:val="00E02D50"/>
    <w:rsid w:val="00E2572A"/>
    <w:rsid w:val="00E328E0"/>
    <w:rsid w:val="00E43656"/>
    <w:rsid w:val="00E713BD"/>
    <w:rsid w:val="00EA4C41"/>
    <w:rsid w:val="00EC31EC"/>
    <w:rsid w:val="00EE4B6C"/>
    <w:rsid w:val="00EE4D79"/>
    <w:rsid w:val="00F05570"/>
    <w:rsid w:val="00F21258"/>
    <w:rsid w:val="00F439F4"/>
    <w:rsid w:val="00F80616"/>
    <w:rsid w:val="00FB15ED"/>
    <w:rsid w:val="00FD05A3"/>
    <w:rsid w:val="00FD4755"/>
    <w:rsid w:val="00FE1AF9"/>
    <w:rsid w:val="00FE31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BF99F"/>
  <w15:chartTrackingRefBased/>
  <w15:docId w15:val="{88934510-704C-44B0-9692-F44481C1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68D5"/>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4168D5"/>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4168D5"/>
    <w:pPr>
      <w:keepNext/>
      <w:keepLines/>
      <w:spacing w:before="40" w:after="0"/>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link w:val="Heading4Char"/>
    <w:uiPriority w:val="9"/>
    <w:qFormat/>
    <w:rsid w:val="004168D5"/>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839"/>
  </w:style>
  <w:style w:type="paragraph" w:styleId="Footer">
    <w:name w:val="footer"/>
    <w:basedOn w:val="Normal"/>
    <w:link w:val="FooterChar"/>
    <w:uiPriority w:val="99"/>
    <w:unhideWhenUsed/>
    <w:rsid w:val="00824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839"/>
  </w:style>
  <w:style w:type="character" w:styleId="Hyperlink">
    <w:name w:val="Hyperlink"/>
    <w:basedOn w:val="DefaultParagraphFont"/>
    <w:uiPriority w:val="99"/>
    <w:unhideWhenUsed/>
    <w:rsid w:val="00FE1AF9"/>
    <w:rPr>
      <w:color w:val="0563C1" w:themeColor="hyperlink"/>
      <w:u w:val="single"/>
    </w:rPr>
  </w:style>
  <w:style w:type="character" w:styleId="UnresolvedMention">
    <w:name w:val="Unresolved Mention"/>
    <w:basedOn w:val="DefaultParagraphFont"/>
    <w:uiPriority w:val="99"/>
    <w:semiHidden/>
    <w:unhideWhenUsed/>
    <w:rsid w:val="00FE1AF9"/>
    <w:rPr>
      <w:color w:val="605E5C"/>
      <w:shd w:val="clear" w:color="auto" w:fill="E1DFDD"/>
    </w:rPr>
  </w:style>
  <w:style w:type="paragraph" w:styleId="ListParagraph">
    <w:name w:val="List Paragraph"/>
    <w:basedOn w:val="Normal"/>
    <w:uiPriority w:val="34"/>
    <w:qFormat/>
    <w:rsid w:val="009C7805"/>
    <w:pPr>
      <w:spacing w:line="256" w:lineRule="auto"/>
      <w:ind w:left="720"/>
      <w:contextualSpacing/>
    </w:pPr>
  </w:style>
  <w:style w:type="paragraph" w:styleId="BalloonText">
    <w:name w:val="Balloon Text"/>
    <w:basedOn w:val="Normal"/>
    <w:link w:val="BalloonTextChar"/>
    <w:uiPriority w:val="99"/>
    <w:semiHidden/>
    <w:unhideWhenUsed/>
    <w:rsid w:val="00EE4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B6C"/>
    <w:rPr>
      <w:rFonts w:ascii="Segoe UI" w:hAnsi="Segoe UI" w:cs="Segoe UI"/>
      <w:sz w:val="18"/>
      <w:szCs w:val="18"/>
    </w:rPr>
  </w:style>
  <w:style w:type="paragraph" w:styleId="FootnoteText">
    <w:name w:val="footnote text"/>
    <w:basedOn w:val="Normal"/>
    <w:link w:val="FootnoteTextChar"/>
    <w:uiPriority w:val="99"/>
    <w:unhideWhenUsed/>
    <w:rsid w:val="00027F34"/>
    <w:pPr>
      <w:spacing w:after="0" w:line="240" w:lineRule="auto"/>
    </w:pPr>
    <w:rPr>
      <w:sz w:val="20"/>
      <w:szCs w:val="20"/>
    </w:rPr>
  </w:style>
  <w:style w:type="character" w:customStyle="1" w:styleId="FootnoteTextChar">
    <w:name w:val="Footnote Text Char"/>
    <w:basedOn w:val="DefaultParagraphFont"/>
    <w:link w:val="FootnoteText"/>
    <w:uiPriority w:val="99"/>
    <w:rsid w:val="00027F34"/>
    <w:rPr>
      <w:sz w:val="20"/>
      <w:szCs w:val="20"/>
    </w:rPr>
  </w:style>
  <w:style w:type="character" w:styleId="FootnoteReference">
    <w:name w:val="footnote reference"/>
    <w:basedOn w:val="DefaultParagraphFont"/>
    <w:uiPriority w:val="99"/>
    <w:semiHidden/>
    <w:unhideWhenUsed/>
    <w:rsid w:val="00027F34"/>
    <w:rPr>
      <w:vertAlign w:val="superscript"/>
    </w:rPr>
  </w:style>
  <w:style w:type="character" w:customStyle="1" w:styleId="Heading1Char">
    <w:name w:val="Heading 1 Char"/>
    <w:basedOn w:val="DefaultParagraphFont"/>
    <w:link w:val="Heading1"/>
    <w:uiPriority w:val="9"/>
    <w:rsid w:val="004168D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4168D5"/>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4168D5"/>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4168D5"/>
    <w:rPr>
      <w:rFonts w:ascii="Times New Roman" w:eastAsia="Times New Roman" w:hAnsi="Times New Roman" w:cs="Times New Roman"/>
      <w:b/>
      <w:bCs/>
      <w:sz w:val="24"/>
      <w:szCs w:val="24"/>
      <w:lang w:val="en-GB" w:eastAsia="en-GB"/>
    </w:rPr>
  </w:style>
  <w:style w:type="character" w:styleId="Emphasis">
    <w:name w:val="Emphasis"/>
    <w:basedOn w:val="DefaultParagraphFont"/>
    <w:uiPriority w:val="20"/>
    <w:qFormat/>
    <w:rsid w:val="004168D5"/>
    <w:rPr>
      <w:i/>
      <w:iCs/>
    </w:rPr>
  </w:style>
  <w:style w:type="paragraph" w:styleId="NormalWeb">
    <w:name w:val="Normal (Web)"/>
    <w:basedOn w:val="Normal"/>
    <w:uiPriority w:val="99"/>
    <w:unhideWhenUsed/>
    <w:rsid w:val="004168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168D5"/>
    <w:pPr>
      <w:autoSpaceDE w:val="0"/>
      <w:autoSpaceDN w:val="0"/>
      <w:adjustRightInd w:val="0"/>
      <w:spacing w:after="0" w:line="240" w:lineRule="auto"/>
    </w:pPr>
    <w:rPr>
      <w:rFonts w:ascii="HelveticaNeueLT Pro 45 Lt" w:hAnsi="HelveticaNeueLT Pro 45 Lt" w:cs="HelveticaNeueLT Pro 45 Lt"/>
      <w:color w:val="000000"/>
      <w:sz w:val="24"/>
      <w:szCs w:val="24"/>
      <w:lang w:val="en-GB"/>
    </w:rPr>
  </w:style>
  <w:style w:type="paragraph" w:styleId="EndnoteText">
    <w:name w:val="endnote text"/>
    <w:basedOn w:val="Normal"/>
    <w:link w:val="EndnoteTextChar"/>
    <w:uiPriority w:val="99"/>
    <w:semiHidden/>
    <w:unhideWhenUsed/>
    <w:rsid w:val="004168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68D5"/>
    <w:rPr>
      <w:sz w:val="20"/>
      <w:szCs w:val="20"/>
    </w:rPr>
  </w:style>
  <w:style w:type="character" w:styleId="EndnoteReference">
    <w:name w:val="endnote reference"/>
    <w:basedOn w:val="DefaultParagraphFont"/>
    <w:uiPriority w:val="99"/>
    <w:semiHidden/>
    <w:unhideWhenUsed/>
    <w:rsid w:val="004168D5"/>
    <w:rPr>
      <w:vertAlign w:val="superscript"/>
    </w:rPr>
  </w:style>
  <w:style w:type="character" w:styleId="Strong">
    <w:name w:val="Strong"/>
    <w:basedOn w:val="DefaultParagraphFont"/>
    <w:uiPriority w:val="22"/>
    <w:qFormat/>
    <w:rsid w:val="004168D5"/>
    <w:rPr>
      <w:b/>
      <w:bCs/>
    </w:rPr>
  </w:style>
  <w:style w:type="character" w:styleId="CommentReference">
    <w:name w:val="annotation reference"/>
    <w:basedOn w:val="DefaultParagraphFont"/>
    <w:uiPriority w:val="99"/>
    <w:semiHidden/>
    <w:unhideWhenUsed/>
    <w:rsid w:val="004168D5"/>
    <w:rPr>
      <w:sz w:val="16"/>
      <w:szCs w:val="16"/>
    </w:rPr>
  </w:style>
  <w:style w:type="paragraph" w:styleId="CommentText">
    <w:name w:val="annotation text"/>
    <w:basedOn w:val="Normal"/>
    <w:link w:val="CommentTextChar"/>
    <w:uiPriority w:val="99"/>
    <w:unhideWhenUsed/>
    <w:rsid w:val="004168D5"/>
    <w:pPr>
      <w:spacing w:line="240" w:lineRule="auto"/>
    </w:pPr>
    <w:rPr>
      <w:sz w:val="20"/>
      <w:szCs w:val="20"/>
      <w:lang w:val="en-GB"/>
    </w:rPr>
  </w:style>
  <w:style w:type="character" w:customStyle="1" w:styleId="CommentTextChar">
    <w:name w:val="Comment Text Char"/>
    <w:basedOn w:val="DefaultParagraphFont"/>
    <w:link w:val="CommentText"/>
    <w:uiPriority w:val="99"/>
    <w:rsid w:val="004168D5"/>
    <w:rPr>
      <w:sz w:val="20"/>
      <w:szCs w:val="20"/>
      <w:lang w:val="en-GB"/>
    </w:rPr>
  </w:style>
  <w:style w:type="paragraph" w:styleId="CommentSubject">
    <w:name w:val="annotation subject"/>
    <w:basedOn w:val="CommentText"/>
    <w:next w:val="CommentText"/>
    <w:link w:val="CommentSubjectChar"/>
    <w:uiPriority w:val="99"/>
    <w:semiHidden/>
    <w:unhideWhenUsed/>
    <w:rsid w:val="004168D5"/>
    <w:rPr>
      <w:b/>
      <w:bCs/>
    </w:rPr>
  </w:style>
  <w:style w:type="character" w:customStyle="1" w:styleId="CommentSubjectChar">
    <w:name w:val="Comment Subject Char"/>
    <w:basedOn w:val="CommentTextChar"/>
    <w:link w:val="CommentSubject"/>
    <w:uiPriority w:val="99"/>
    <w:semiHidden/>
    <w:rsid w:val="004168D5"/>
    <w:rPr>
      <w:b/>
      <w:bCs/>
      <w:sz w:val="20"/>
      <w:szCs w:val="20"/>
      <w:lang w:val="en-GB"/>
    </w:rPr>
  </w:style>
  <w:style w:type="paragraph" w:styleId="TOCHeading">
    <w:name w:val="TOC Heading"/>
    <w:basedOn w:val="Heading1"/>
    <w:next w:val="Normal"/>
    <w:uiPriority w:val="39"/>
    <w:unhideWhenUsed/>
    <w:qFormat/>
    <w:rsid w:val="004168D5"/>
    <w:pPr>
      <w:outlineLvl w:val="9"/>
    </w:pPr>
    <w:rPr>
      <w:lang w:val="en-US"/>
    </w:rPr>
  </w:style>
  <w:style w:type="paragraph" w:styleId="TOC2">
    <w:name w:val="toc 2"/>
    <w:basedOn w:val="Normal"/>
    <w:next w:val="Normal"/>
    <w:autoRedefine/>
    <w:uiPriority w:val="39"/>
    <w:unhideWhenUsed/>
    <w:rsid w:val="004168D5"/>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4168D5"/>
    <w:pPr>
      <w:tabs>
        <w:tab w:val="left" w:pos="440"/>
        <w:tab w:val="right" w:leader="dot" w:pos="9016"/>
      </w:tabs>
      <w:spacing w:after="120" w:line="276" w:lineRule="auto"/>
      <w:jc w:val="both"/>
    </w:pPr>
    <w:rPr>
      <w:rFonts w:ascii="Arial" w:eastAsiaTheme="minorEastAsia" w:hAnsi="Arial" w:cs="Arial"/>
      <w:noProof/>
      <w:lang w:val="en-US"/>
    </w:rPr>
  </w:style>
  <w:style w:type="paragraph" w:styleId="TOC3">
    <w:name w:val="toc 3"/>
    <w:basedOn w:val="Normal"/>
    <w:next w:val="Normal"/>
    <w:autoRedefine/>
    <w:uiPriority w:val="39"/>
    <w:unhideWhenUsed/>
    <w:rsid w:val="004168D5"/>
    <w:pPr>
      <w:spacing w:after="100"/>
      <w:ind w:left="440"/>
    </w:pPr>
    <w:rPr>
      <w:rFonts w:eastAsiaTheme="minorEastAsia" w:cs="Times New Roman"/>
      <w:lang w:val="en-US"/>
    </w:rPr>
  </w:style>
  <w:style w:type="paragraph" w:styleId="Title">
    <w:name w:val="Title"/>
    <w:basedOn w:val="Normal"/>
    <w:next w:val="Normal"/>
    <w:link w:val="TitleChar"/>
    <w:uiPriority w:val="10"/>
    <w:qFormat/>
    <w:rsid w:val="004168D5"/>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4168D5"/>
    <w:rPr>
      <w:rFonts w:asciiTheme="majorHAnsi" w:eastAsiaTheme="majorEastAsia" w:hAnsiTheme="majorHAnsi" w:cstheme="majorBidi"/>
      <w:spacing w:val="-10"/>
      <w:kern w:val="28"/>
      <w:sz w:val="56"/>
      <w:szCs w:val="56"/>
      <w:lang w:val="en-GB"/>
    </w:rPr>
  </w:style>
  <w:style w:type="paragraph" w:styleId="Caption">
    <w:name w:val="caption"/>
    <w:basedOn w:val="Normal"/>
    <w:next w:val="Normal"/>
    <w:uiPriority w:val="35"/>
    <w:unhideWhenUsed/>
    <w:qFormat/>
    <w:rsid w:val="004168D5"/>
    <w:pPr>
      <w:spacing w:after="200" w:line="240" w:lineRule="auto"/>
    </w:pPr>
    <w:rPr>
      <w:i/>
      <w:iCs/>
      <w:color w:val="44546A" w:themeColor="text2"/>
      <w:sz w:val="18"/>
      <w:szCs w:val="18"/>
      <w:lang w:val="en-GB"/>
    </w:rPr>
  </w:style>
  <w:style w:type="paragraph" w:styleId="TableofFigures">
    <w:name w:val="table of figures"/>
    <w:basedOn w:val="Normal"/>
    <w:next w:val="Normal"/>
    <w:uiPriority w:val="99"/>
    <w:unhideWhenUsed/>
    <w:rsid w:val="004168D5"/>
    <w:pPr>
      <w:spacing w:after="0"/>
    </w:pPr>
    <w:rPr>
      <w:lang w:val="en-GB"/>
    </w:rPr>
  </w:style>
  <w:style w:type="paragraph" w:styleId="Revision">
    <w:name w:val="Revision"/>
    <w:hidden/>
    <w:uiPriority w:val="99"/>
    <w:semiHidden/>
    <w:rsid w:val="004168D5"/>
    <w:pPr>
      <w:spacing w:after="0" w:line="240" w:lineRule="auto"/>
    </w:pPr>
    <w:rPr>
      <w:lang w:val="en-GB"/>
    </w:rPr>
  </w:style>
  <w:style w:type="character" w:styleId="FollowedHyperlink">
    <w:name w:val="FollowedHyperlink"/>
    <w:basedOn w:val="DefaultParagraphFont"/>
    <w:uiPriority w:val="99"/>
    <w:semiHidden/>
    <w:unhideWhenUsed/>
    <w:rsid w:val="004168D5"/>
    <w:rPr>
      <w:color w:val="954F72" w:themeColor="followedHyperlink"/>
      <w:u w:val="single"/>
    </w:rPr>
  </w:style>
  <w:style w:type="character" w:customStyle="1" w:styleId="author">
    <w:name w:val="author"/>
    <w:basedOn w:val="DefaultParagraphFont"/>
    <w:rsid w:val="00416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1486">
      <w:bodyDiv w:val="1"/>
      <w:marLeft w:val="0"/>
      <w:marRight w:val="0"/>
      <w:marTop w:val="0"/>
      <w:marBottom w:val="0"/>
      <w:divBdr>
        <w:top w:val="none" w:sz="0" w:space="0" w:color="auto"/>
        <w:left w:val="none" w:sz="0" w:space="0" w:color="auto"/>
        <w:bottom w:val="none" w:sz="0" w:space="0" w:color="auto"/>
        <w:right w:val="none" w:sz="0" w:space="0" w:color="auto"/>
      </w:divBdr>
    </w:div>
    <w:div w:id="823544042">
      <w:bodyDiv w:val="1"/>
      <w:marLeft w:val="0"/>
      <w:marRight w:val="0"/>
      <w:marTop w:val="0"/>
      <w:marBottom w:val="0"/>
      <w:divBdr>
        <w:top w:val="none" w:sz="0" w:space="0" w:color="auto"/>
        <w:left w:val="none" w:sz="0" w:space="0" w:color="auto"/>
        <w:bottom w:val="none" w:sz="0" w:space="0" w:color="auto"/>
        <w:right w:val="none" w:sz="0" w:space="0" w:color="auto"/>
      </w:divBdr>
    </w:div>
    <w:div w:id="1287007631">
      <w:bodyDiv w:val="1"/>
      <w:marLeft w:val="0"/>
      <w:marRight w:val="0"/>
      <w:marTop w:val="0"/>
      <w:marBottom w:val="0"/>
      <w:divBdr>
        <w:top w:val="none" w:sz="0" w:space="0" w:color="auto"/>
        <w:left w:val="none" w:sz="0" w:space="0" w:color="auto"/>
        <w:bottom w:val="none" w:sz="0" w:space="0" w:color="auto"/>
        <w:right w:val="none" w:sz="0" w:space="0" w:color="auto"/>
      </w:divBdr>
    </w:div>
    <w:div w:id="1287275134">
      <w:bodyDiv w:val="1"/>
      <w:marLeft w:val="0"/>
      <w:marRight w:val="0"/>
      <w:marTop w:val="0"/>
      <w:marBottom w:val="0"/>
      <w:divBdr>
        <w:top w:val="none" w:sz="0" w:space="0" w:color="auto"/>
        <w:left w:val="none" w:sz="0" w:space="0" w:color="auto"/>
        <w:bottom w:val="none" w:sz="0" w:space="0" w:color="auto"/>
        <w:right w:val="none" w:sz="0" w:space="0" w:color="auto"/>
      </w:divBdr>
    </w:div>
    <w:div w:id="1677532277">
      <w:bodyDiv w:val="1"/>
      <w:marLeft w:val="0"/>
      <w:marRight w:val="0"/>
      <w:marTop w:val="0"/>
      <w:marBottom w:val="0"/>
      <w:divBdr>
        <w:top w:val="none" w:sz="0" w:space="0" w:color="auto"/>
        <w:left w:val="none" w:sz="0" w:space="0" w:color="auto"/>
        <w:bottom w:val="none" w:sz="0" w:space="0" w:color="auto"/>
        <w:right w:val="none" w:sz="0" w:space="0" w:color="auto"/>
      </w:divBdr>
    </w:div>
    <w:div w:id="1844931434">
      <w:bodyDiv w:val="1"/>
      <w:marLeft w:val="0"/>
      <w:marRight w:val="0"/>
      <w:marTop w:val="0"/>
      <w:marBottom w:val="0"/>
      <w:divBdr>
        <w:top w:val="none" w:sz="0" w:space="0" w:color="auto"/>
        <w:left w:val="none" w:sz="0" w:space="0" w:color="auto"/>
        <w:bottom w:val="none" w:sz="0" w:space="0" w:color="auto"/>
        <w:right w:val="none" w:sz="0" w:space="0" w:color="auto"/>
      </w:divBdr>
    </w:div>
    <w:div w:id="210953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ku\Downloads\MTBPS%20Models(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GB" sz="1100"/>
              <a:t>Debt to GDP Current Growth vs DA Growth</a:t>
            </a:r>
          </a:p>
        </c:rich>
      </c:tx>
      <c:layout>
        <c:manualLayout>
          <c:xMode val="edge"/>
          <c:yMode val="edge"/>
          <c:x val="0.26942899864084685"/>
          <c:y val="4.1355758103299362E-2"/>
        </c:manualLayout>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manualLayout>
          <c:layoutTarget val="inner"/>
          <c:xMode val="edge"/>
          <c:yMode val="edge"/>
          <c:x val="4.1079659780136245E-2"/>
          <c:y val="0.108746885004029"/>
          <c:w val="0.94810193523995911"/>
          <c:h val="0.83448632835743131"/>
        </c:manualLayout>
      </c:layout>
      <c:lineChart>
        <c:grouping val="standard"/>
        <c:varyColors val="0"/>
        <c:ser>
          <c:idx val="0"/>
          <c:order val="0"/>
          <c:tx>
            <c:v>ANC Growth Path</c:v>
          </c:tx>
          <c:spPr>
            <a:ln w="22225" cap="rnd">
              <a:solidFill>
                <a:schemeClr val="accent6"/>
              </a:solidFill>
            </a:ln>
            <a:effectLst>
              <a:glow rad="139700">
                <a:schemeClr val="accent6">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'MTBPS Debt Models'!$E$5:$N$5</c:f>
              <c:strCache>
                <c:ptCount val="10"/>
                <c:pt idx="0">
                  <c:v>2017/18</c:v>
                </c:pt>
                <c:pt idx="1">
                  <c:v>2018/19</c:v>
                </c:pt>
                <c:pt idx="2">
                  <c:v>2019/20</c:v>
                </c:pt>
                <c:pt idx="3">
                  <c:v>2020/21</c:v>
                </c:pt>
                <c:pt idx="4">
                  <c:v>2021/22</c:v>
                </c:pt>
                <c:pt idx="5">
                  <c:v>2022/23</c:v>
                </c:pt>
                <c:pt idx="6">
                  <c:v>2023/24</c:v>
                </c:pt>
                <c:pt idx="7">
                  <c:v>2024/25</c:v>
                </c:pt>
                <c:pt idx="8">
                  <c:v>2025/26</c:v>
                </c:pt>
                <c:pt idx="9">
                  <c:v>2026/27</c:v>
                </c:pt>
              </c:strCache>
            </c:strRef>
          </c:cat>
          <c:val>
            <c:numRef>
              <c:f>'MTBPS Debt Models'!$E$11:$N$11</c:f>
              <c:numCache>
                <c:formatCode>0.0%</c:formatCode>
                <c:ptCount val="10"/>
                <c:pt idx="0">
                  <c:v>0.48467644143887212</c:v>
                </c:pt>
                <c:pt idx="1">
                  <c:v>0.5146079028477567</c:v>
                </c:pt>
                <c:pt idx="2">
                  <c:v>0.57350008616657233</c:v>
                </c:pt>
                <c:pt idx="3">
                  <c:v>0.70707417317128074</c:v>
                </c:pt>
                <c:pt idx="4">
                  <c:v>0.7017685794835099</c:v>
                </c:pt>
                <c:pt idx="5">
                  <c:v>0.74359508177328038</c:v>
                </c:pt>
                <c:pt idx="6">
                  <c:v>0.7916859391204879</c:v>
                </c:pt>
                <c:pt idx="7">
                  <c:v>0.83434357343101295</c:v>
                </c:pt>
                <c:pt idx="8">
                  <c:v>0.84744415947114671</c:v>
                </c:pt>
                <c:pt idx="9">
                  <c:v>0.85990657358101652</c:v>
                </c:pt>
              </c:numCache>
            </c:numRef>
          </c:val>
          <c:smooth val="0"/>
          <c:extLst>
            <c:ext xmlns:c16="http://schemas.microsoft.com/office/drawing/2014/chart" uri="{C3380CC4-5D6E-409C-BE32-E72D297353CC}">
              <c16:uniqueId val="{00000000-A7E9-4EFF-ADF6-90599BA97206}"/>
            </c:ext>
          </c:extLst>
        </c:ser>
        <c:ser>
          <c:idx val="1"/>
          <c:order val="1"/>
          <c:tx>
            <c:v>DA Growth Path</c:v>
          </c:tx>
          <c:spPr>
            <a:ln w="22225" cap="rnd">
              <a:solidFill>
                <a:schemeClr val="accent5"/>
              </a:solidFill>
            </a:ln>
            <a:effectLst>
              <a:glow rad="139700">
                <a:schemeClr val="accent5">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'MTBPS Debt Models'!$E$5:$N$5</c:f>
              <c:strCache>
                <c:ptCount val="10"/>
                <c:pt idx="0">
                  <c:v>2017/18</c:v>
                </c:pt>
                <c:pt idx="1">
                  <c:v>2018/19</c:v>
                </c:pt>
                <c:pt idx="2">
                  <c:v>2019/20</c:v>
                </c:pt>
                <c:pt idx="3">
                  <c:v>2020/21</c:v>
                </c:pt>
                <c:pt idx="4">
                  <c:v>2021/22</c:v>
                </c:pt>
                <c:pt idx="5">
                  <c:v>2022/23</c:v>
                </c:pt>
                <c:pt idx="6">
                  <c:v>2023/24</c:v>
                </c:pt>
                <c:pt idx="7">
                  <c:v>2024/25</c:v>
                </c:pt>
                <c:pt idx="8">
                  <c:v>2025/26</c:v>
                </c:pt>
                <c:pt idx="9">
                  <c:v>2026/27</c:v>
                </c:pt>
              </c:strCache>
            </c:strRef>
          </c:cat>
          <c:val>
            <c:numRef>
              <c:f>'MTBPS Debt Models'!$E$13:$N$13</c:f>
              <c:numCache>
                <c:formatCode>0.0%</c:formatCode>
                <c:ptCount val="10"/>
                <c:pt idx="0">
                  <c:v>0.48467644143887212</c:v>
                </c:pt>
                <c:pt idx="1">
                  <c:v>0.5146079028477567</c:v>
                </c:pt>
                <c:pt idx="2">
                  <c:v>0.57350008616657233</c:v>
                </c:pt>
                <c:pt idx="3">
                  <c:v>0.70707417317128074</c:v>
                </c:pt>
                <c:pt idx="4">
                  <c:v>0.7017685794835099</c:v>
                </c:pt>
                <c:pt idx="5">
                  <c:v>0.72301850031199688</c:v>
                </c:pt>
                <c:pt idx="6">
                  <c:v>0.74480486602185725</c:v>
                </c:pt>
                <c:pt idx="7">
                  <c:v>0.7617179134737867</c:v>
                </c:pt>
                <c:pt idx="8">
                  <c:v>0.75226912256237521</c:v>
                </c:pt>
                <c:pt idx="9">
                  <c:v>0.74293753993517009</c:v>
                </c:pt>
              </c:numCache>
            </c:numRef>
          </c:val>
          <c:smooth val="0"/>
          <c:extLst>
            <c:ext xmlns:c16="http://schemas.microsoft.com/office/drawing/2014/chart" uri="{C3380CC4-5D6E-409C-BE32-E72D297353CC}">
              <c16:uniqueId val="{00000001-A7E9-4EFF-ADF6-90599BA97206}"/>
            </c:ext>
          </c:extLst>
        </c:ser>
        <c:dLbls>
          <c:showLegendKey val="0"/>
          <c:showVal val="0"/>
          <c:showCatName val="0"/>
          <c:showSerName val="0"/>
          <c:showPercent val="0"/>
          <c:showBubbleSize val="0"/>
        </c:dLbls>
        <c:smooth val="0"/>
        <c:axId val="692896800"/>
        <c:axId val="692903032"/>
      </c:lineChart>
      <c:catAx>
        <c:axId val="692896800"/>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92903032"/>
        <c:crosses val="autoZero"/>
        <c:auto val="1"/>
        <c:lblAlgn val="ctr"/>
        <c:lblOffset val="100"/>
        <c:noMultiLvlLbl val="0"/>
      </c:catAx>
      <c:valAx>
        <c:axId val="692903032"/>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92896800"/>
        <c:crosses val="autoZero"/>
        <c:crossBetween val="between"/>
      </c:valAx>
      <c:spPr>
        <a:noFill/>
        <a:ln w="25400">
          <a:noFill/>
        </a:ln>
        <a:effectLst/>
      </c:spPr>
    </c:plotArea>
    <c:legend>
      <c:legendPos val="t"/>
      <c:layout>
        <c:manualLayout>
          <c:xMode val="edge"/>
          <c:yMode val="edge"/>
          <c:x val="0.29379581571596153"/>
          <c:y val="0.78510855218242226"/>
          <c:w val="0.37581126090681155"/>
          <c:h val="0.101774238194812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F977E-B6E2-4649-8A40-FE242470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6051</Words>
  <Characters>34496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Badenhorst</dc:creator>
  <cp:keywords/>
  <dc:description/>
  <cp:lastModifiedBy>Lenku-Vince Oosthuizen</cp:lastModifiedBy>
  <cp:revision>15</cp:revision>
  <cp:lastPrinted>2022-10-24T12:57:00Z</cp:lastPrinted>
  <dcterms:created xsi:type="dcterms:W3CDTF">2022-10-23T18:21:00Z</dcterms:created>
  <dcterms:modified xsi:type="dcterms:W3CDTF">2022-10-24T12:59:00Z</dcterms:modified>
</cp:coreProperties>
</file>