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0586" w14:textId="06A83650" w:rsidR="005863EB" w:rsidRDefault="005C5C3C" w:rsidP="005C5C3C">
      <w:pPr>
        <w:jc w:val="center"/>
        <w:rPr>
          <w:b/>
          <w:bCs/>
          <w:u w:val="single"/>
        </w:rPr>
      </w:pPr>
      <w:r w:rsidRPr="005C5C3C">
        <w:rPr>
          <w:b/>
          <w:bCs/>
          <w:u w:val="single"/>
        </w:rPr>
        <w:t>Public Service Commission presentation to SCOPA</w:t>
      </w:r>
      <w:r>
        <w:rPr>
          <w:b/>
          <w:bCs/>
          <w:u w:val="single"/>
        </w:rPr>
        <w:t>:</w:t>
      </w:r>
    </w:p>
    <w:p w14:paraId="227AD99A" w14:textId="38288CA4" w:rsidR="005C5C3C" w:rsidRPr="005C5C3C" w:rsidRDefault="005C5C3C" w:rsidP="005C5C3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Financial misconduct cases</w:t>
      </w:r>
    </w:p>
    <w:p w14:paraId="5F459BFA" w14:textId="77777777" w:rsidR="00380C47" w:rsidRDefault="00380C47"/>
    <w:p w14:paraId="4E371BF7" w14:textId="5E0C004F" w:rsidR="00380C47" w:rsidRDefault="00380C47">
      <w:r w:rsidRPr="00380C47">
        <w:drawing>
          <wp:inline distT="0" distB="0" distL="0" distR="0" wp14:anchorId="0D74C140" wp14:editId="1CE904E7">
            <wp:extent cx="5731510" cy="4124960"/>
            <wp:effectExtent l="0" t="0" r="2540" b="8890"/>
            <wp:docPr id="752619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6196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4E094" w14:textId="77777777" w:rsidR="00380C47" w:rsidRDefault="00380C47"/>
    <w:p w14:paraId="7CCF9612" w14:textId="72114F59" w:rsidR="00380C47" w:rsidRDefault="00380C47">
      <w:r w:rsidRPr="00380C47">
        <w:drawing>
          <wp:inline distT="0" distB="0" distL="0" distR="0" wp14:anchorId="1D1DFCA6" wp14:editId="0735484D">
            <wp:extent cx="5731510" cy="3684270"/>
            <wp:effectExtent l="0" t="0" r="2540" b="0"/>
            <wp:docPr id="1458198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980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4CE06" w14:textId="77777777" w:rsidR="00380C47" w:rsidRDefault="00380C47"/>
    <w:p w14:paraId="4CC4D899" w14:textId="7E9C2031" w:rsidR="00380C47" w:rsidRDefault="00380C47">
      <w:r w:rsidRPr="00380C47">
        <w:drawing>
          <wp:inline distT="0" distB="0" distL="0" distR="0" wp14:anchorId="468BFB00" wp14:editId="22CD0DEE">
            <wp:extent cx="5731510" cy="3855085"/>
            <wp:effectExtent l="0" t="0" r="2540" b="0"/>
            <wp:docPr id="2122049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495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631B6" w14:textId="77777777" w:rsidR="00380C47" w:rsidRDefault="00380C47"/>
    <w:p w14:paraId="2979F1A0" w14:textId="1080592E" w:rsidR="00380C47" w:rsidRDefault="005C5C3C">
      <w:r>
        <w:t xml:space="preserve">In regards to </w:t>
      </w:r>
      <w:r w:rsidR="00D318F3" w:rsidRPr="00D318F3">
        <w:t>finalised cases of financial misconduct</w:t>
      </w:r>
      <w:r>
        <w:t xml:space="preserve">, the PSC </w:t>
      </w:r>
      <w:r w:rsidR="00D318F3">
        <w:t xml:space="preserve">observed </w:t>
      </w:r>
      <w:r>
        <w:t>the following:</w:t>
      </w:r>
    </w:p>
    <w:p w14:paraId="1E4810E8" w14:textId="2218AC9D" w:rsidR="005C5C3C" w:rsidRPr="00D318F3" w:rsidRDefault="00D318F3" w:rsidP="00D318F3">
      <w:pPr>
        <w:pStyle w:val="ListParagraph"/>
        <w:numPr>
          <w:ilvl w:val="0"/>
          <w:numId w:val="2"/>
        </w:numPr>
        <w:rPr>
          <w:lang w:val="en-US"/>
        </w:rPr>
      </w:pPr>
      <w:r w:rsidRPr="00D318F3">
        <w:rPr>
          <w:lang w:val="en-US"/>
        </w:rPr>
        <w:t xml:space="preserve">That there has been </w:t>
      </w:r>
      <w:r w:rsidR="005C5C3C" w:rsidRPr="00D318F3">
        <w:rPr>
          <w:lang w:val="en-US"/>
        </w:rPr>
        <w:t xml:space="preserve">underreporting by </w:t>
      </w:r>
      <w:proofErr w:type="spellStart"/>
      <w:r w:rsidR="005C5C3C" w:rsidRPr="00D318F3">
        <w:rPr>
          <w:lang w:val="en-US"/>
        </w:rPr>
        <w:t>HoDs</w:t>
      </w:r>
      <w:proofErr w:type="spellEnd"/>
      <w:r w:rsidR="005C5C3C" w:rsidRPr="00D318F3">
        <w:rPr>
          <w:lang w:val="en-US"/>
        </w:rPr>
        <w:t xml:space="preserve"> in respect of the </w:t>
      </w:r>
      <w:proofErr w:type="spellStart"/>
      <w:r w:rsidR="005C5C3C" w:rsidRPr="00D318F3">
        <w:rPr>
          <w:lang w:val="en-US"/>
        </w:rPr>
        <w:t>finalised</w:t>
      </w:r>
      <w:proofErr w:type="spellEnd"/>
      <w:r w:rsidR="005C5C3C" w:rsidRPr="00D318F3">
        <w:rPr>
          <w:lang w:val="en-US"/>
        </w:rPr>
        <w:t xml:space="preserve"> cases of financial misconduct considering the concluded investigations which were conducted by various law enforcement agencies and forensic service providers.</w:t>
      </w:r>
    </w:p>
    <w:p w14:paraId="4A232D37" w14:textId="2937C624" w:rsidR="005C5C3C" w:rsidRPr="00D318F3" w:rsidRDefault="00D318F3" w:rsidP="00D318F3">
      <w:pPr>
        <w:pStyle w:val="ListParagraph"/>
        <w:numPr>
          <w:ilvl w:val="0"/>
          <w:numId w:val="2"/>
        </w:numPr>
        <w:rPr>
          <w:lang w:val="en-US"/>
        </w:rPr>
      </w:pPr>
      <w:r w:rsidRPr="00D318F3">
        <w:rPr>
          <w:lang w:val="en-US"/>
        </w:rPr>
        <w:t>T</w:t>
      </w:r>
      <w:r w:rsidR="005C5C3C" w:rsidRPr="00D318F3">
        <w:rPr>
          <w:lang w:val="en-US"/>
        </w:rPr>
        <w:t xml:space="preserve">hat over the years the recovery rate has always been low, and the trend has been writing-off of the debts because of loss of records, unjustifiable delays through litigations etc. </w:t>
      </w:r>
    </w:p>
    <w:p w14:paraId="74942CD7" w14:textId="07825E62" w:rsidR="005C5C3C" w:rsidRPr="005C5C3C" w:rsidRDefault="00D318F3" w:rsidP="00D318F3">
      <w:pPr>
        <w:pStyle w:val="ListParagraph"/>
        <w:numPr>
          <w:ilvl w:val="0"/>
          <w:numId w:val="2"/>
        </w:numPr>
      </w:pPr>
      <w:r w:rsidRPr="00D318F3">
        <w:t xml:space="preserve">The Premier’s Office should therefore ensure that its recovery strategy on monies lost by the </w:t>
      </w:r>
      <w:r w:rsidRPr="00D318F3">
        <w:t>province</w:t>
      </w:r>
      <w:r w:rsidRPr="00D318F3">
        <w:t xml:space="preserve"> is effectively and efficiently implemented to reflect the correct amount and tracking actual recovery across all the Departments and its entities.</w:t>
      </w:r>
    </w:p>
    <w:p w14:paraId="6CF38F18" w14:textId="5C7F597B" w:rsidR="005C5C3C" w:rsidRDefault="00D318F3" w:rsidP="00D318F3">
      <w:pPr>
        <w:pStyle w:val="ListParagraph"/>
        <w:numPr>
          <w:ilvl w:val="0"/>
          <w:numId w:val="2"/>
        </w:numPr>
      </w:pPr>
      <w:r>
        <w:t xml:space="preserve">That in the </w:t>
      </w:r>
      <w:r w:rsidR="005C5C3C" w:rsidRPr="005C5C3C">
        <w:t xml:space="preserve">2023/24 financial year, </w:t>
      </w:r>
      <w:r>
        <w:t>23</w:t>
      </w:r>
      <w:r w:rsidR="005C5C3C" w:rsidRPr="005C5C3C">
        <w:t xml:space="preserve"> employees who were dismissed because of financial misconduct </w:t>
      </w:r>
      <w:r>
        <w:t>which is more than p</w:t>
      </w:r>
      <w:r w:rsidR="005C5C3C" w:rsidRPr="005C5C3C">
        <w:t>revious financial years.</w:t>
      </w:r>
    </w:p>
    <w:sectPr w:rsidR="005C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B7AC8"/>
    <w:multiLevelType w:val="hybridMultilevel"/>
    <w:tmpl w:val="1826C7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2347F"/>
    <w:multiLevelType w:val="hybridMultilevel"/>
    <w:tmpl w:val="76D66002"/>
    <w:lvl w:ilvl="0" w:tplc="BABE82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0F3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6B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4E1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41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2BB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600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8D0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ED4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696592">
    <w:abstractNumId w:val="1"/>
  </w:num>
  <w:num w:numId="2" w16cid:durableId="17311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47"/>
    <w:rsid w:val="00380C47"/>
    <w:rsid w:val="005863EB"/>
    <w:rsid w:val="005C5C3C"/>
    <w:rsid w:val="009852D5"/>
    <w:rsid w:val="00B22BC0"/>
    <w:rsid w:val="00D318F3"/>
    <w:rsid w:val="00E56E7C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4178E"/>
  <w15:chartTrackingRefBased/>
  <w15:docId w15:val="{F614F500-887A-4D2F-8B38-FE3305A9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Mbali Toyana</dc:creator>
  <cp:keywords/>
  <dc:description/>
  <cp:lastModifiedBy>Mbali Toyana</cp:lastModifiedBy>
  <cp:revision>1</cp:revision>
  <dcterms:created xsi:type="dcterms:W3CDTF">2024-10-18T06:21:00Z</dcterms:created>
  <dcterms:modified xsi:type="dcterms:W3CDTF">2024-10-18T06:52:00Z</dcterms:modified>
</cp:coreProperties>
</file>