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5" w:type="dxa"/>
        <w:tblCellSpacing w:w="30" w:type="dxa"/>
        <w:tblCellMar>
          <w:left w:w="0" w:type="dxa"/>
          <w:right w:w="0" w:type="dxa"/>
        </w:tblCellMar>
        <w:tblLook w:val="04A0" w:firstRow="1" w:lastRow="0" w:firstColumn="1" w:lastColumn="0" w:noHBand="0" w:noVBand="1"/>
      </w:tblPr>
      <w:tblGrid>
        <w:gridCol w:w="10095"/>
      </w:tblGrid>
      <w:tr w:rsidR="00952C4B" w14:paraId="68D6916E" w14:textId="77777777">
        <w:trPr>
          <w:trHeight w:val="375"/>
          <w:tblCellSpacing w:w="30" w:type="dxa"/>
        </w:trPr>
        <w:tc>
          <w:tcPr>
            <w:tcW w:w="12465" w:type="dxa"/>
            <w:tcMar>
              <w:top w:w="15" w:type="dxa"/>
              <w:left w:w="15" w:type="dxa"/>
              <w:bottom w:w="15" w:type="dxa"/>
              <w:right w:w="15" w:type="dxa"/>
            </w:tcMar>
            <w:hideMark/>
          </w:tcPr>
          <w:p w14:paraId="7965BCB7" w14:textId="77777777" w:rsidR="00952C4B" w:rsidRDefault="00952C4B">
            <w:pPr>
              <w:spacing w:before="100" w:beforeAutospacing="1" w:after="100" w:afterAutospacing="1"/>
              <w:rPr>
                <w:rFonts w:ascii="Verdana" w:hAnsi="Verdana"/>
                <w:sz w:val="20"/>
                <w:szCs w:val="20"/>
                <w:lang w:val="en-GB" w:eastAsia="en-GB"/>
              </w:rPr>
            </w:pPr>
            <w:r>
              <w:rPr>
                <w:rFonts w:ascii="Verdana" w:hAnsi="Verdana"/>
                <w:color w:val="000000"/>
                <w:sz w:val="20"/>
                <w:szCs w:val="20"/>
                <w:shd w:val="clear" w:color="auto" w:fill="FFFFFF"/>
                <w:lang w:val="en-GB" w:eastAsia="en-GB"/>
              </w:rPr>
              <w:t> </w:t>
            </w:r>
          </w:p>
          <w:p w14:paraId="4F05B3A9" w14:textId="77777777" w:rsidR="00952C4B" w:rsidRDefault="00952C4B">
            <w:pPr>
              <w:rPr>
                <w:rFonts w:ascii="Verdana" w:hAnsi="Verdana"/>
                <w:color w:val="000000"/>
                <w:sz w:val="20"/>
                <w:szCs w:val="20"/>
                <w:shd w:val="clear" w:color="auto" w:fill="FFFFFF"/>
                <w:lang w:val="en-GB" w:eastAsia="en-GB"/>
              </w:rPr>
            </w:pPr>
            <w:r>
              <w:rPr>
                <w:rFonts w:ascii="Verdana" w:hAnsi="Verdana"/>
                <w:color w:val="000000"/>
                <w:sz w:val="20"/>
                <w:szCs w:val="20"/>
                <w:shd w:val="clear" w:color="auto" w:fill="FFFFFF"/>
                <w:lang w:val="en-GB" w:eastAsia="en-GB"/>
              </w:rPr>
              <w:t>Democratic Alliance speech by</w:t>
            </w:r>
          </w:p>
          <w:p w14:paraId="28CA4BEA" w14:textId="77777777" w:rsidR="00952C4B" w:rsidRDefault="00952C4B">
            <w:pPr>
              <w:rPr>
                <w:rFonts w:ascii="Verdana" w:hAnsi="Verdana"/>
                <w:b/>
                <w:bCs/>
                <w:color w:val="000000"/>
                <w:sz w:val="20"/>
                <w:szCs w:val="20"/>
                <w:shd w:val="clear" w:color="auto" w:fill="FFFFFF"/>
                <w:lang w:val="en-GB" w:eastAsia="en-GB"/>
              </w:rPr>
            </w:pPr>
            <w:r>
              <w:rPr>
                <w:rFonts w:ascii="Verdana" w:hAnsi="Verdana"/>
                <w:b/>
                <w:bCs/>
                <w:color w:val="000000"/>
                <w:sz w:val="20"/>
                <w:szCs w:val="20"/>
                <w:shd w:val="clear" w:color="auto" w:fill="FFFFFF"/>
                <w:lang w:val="en-GB" w:eastAsia="en-GB"/>
              </w:rPr>
              <w:t>Ina Cilliers MPL</w:t>
            </w:r>
          </w:p>
          <w:p w14:paraId="73CF0A99" w14:textId="77777777" w:rsidR="00952C4B" w:rsidRDefault="00952C4B">
            <w:pPr>
              <w:rPr>
                <w:rFonts w:ascii="Verdana" w:hAnsi="Verdana"/>
                <w:sz w:val="20"/>
                <w:szCs w:val="20"/>
                <w:lang w:val="en-GB" w:eastAsia="en-GB"/>
              </w:rPr>
            </w:pPr>
            <w:r>
              <w:rPr>
                <w:rFonts w:ascii="Verdana" w:hAnsi="Verdana"/>
                <w:color w:val="000000"/>
                <w:sz w:val="20"/>
                <w:szCs w:val="20"/>
                <w:shd w:val="clear" w:color="auto" w:fill="FFFFFF"/>
                <w:lang w:val="en-GB" w:eastAsia="en-GB"/>
              </w:rPr>
              <w:t>DA Gauteng Shadow MEC for e-Government and Research Development                                               </w:t>
            </w:r>
          </w:p>
        </w:tc>
      </w:tr>
    </w:tbl>
    <w:p w14:paraId="0A9620ED" w14:textId="77777777" w:rsidR="00952C4B" w:rsidRDefault="00952C4B" w:rsidP="00952C4B">
      <w:pPr>
        <w:rPr>
          <w:rFonts w:ascii="Georgia" w:hAnsi="Georgia"/>
          <w:sz w:val="44"/>
          <w:szCs w:val="44"/>
          <w:lang w:eastAsia="en-US"/>
          <w14:ligatures w14:val="standardContextual"/>
        </w:rPr>
      </w:pPr>
    </w:p>
    <w:p w14:paraId="3C79D028" w14:textId="77777777" w:rsidR="00952C4B" w:rsidRDefault="00952C4B" w:rsidP="00952C4B">
      <w:pPr>
        <w:rPr>
          <w:rFonts w:ascii="Georgia" w:hAnsi="Georgia"/>
          <w:sz w:val="44"/>
          <w:szCs w:val="44"/>
        </w:rPr>
      </w:pPr>
      <w:r>
        <w:rPr>
          <w:rFonts w:ascii="Georgia" w:hAnsi="Georgia"/>
          <w:sz w:val="44"/>
          <w:szCs w:val="44"/>
        </w:rPr>
        <w:t>Gauteng’s efforts in building a digital state inadequate</w:t>
      </w:r>
    </w:p>
    <w:p w14:paraId="283360E1" w14:textId="77777777" w:rsidR="00952C4B" w:rsidRDefault="00952C4B" w:rsidP="00952C4B">
      <w:pPr>
        <w:rPr>
          <w:rFonts w:ascii="Verdana" w:hAnsi="Verdana"/>
          <w:sz w:val="20"/>
          <w:szCs w:val="20"/>
        </w:rPr>
      </w:pPr>
      <w:r>
        <w:rPr>
          <w:rFonts w:ascii="Verdana" w:hAnsi="Verdana"/>
          <w:sz w:val="20"/>
          <w:szCs w:val="20"/>
        </w:rPr>
        <w:t>26 November 2025</w:t>
      </w:r>
    </w:p>
    <w:p w14:paraId="5618631D" w14:textId="77777777" w:rsidR="00952C4B" w:rsidRDefault="00952C4B" w:rsidP="00952C4B">
      <w:pPr>
        <w:rPr>
          <w:rFonts w:ascii="Verdana" w:hAnsi="Verdana"/>
          <w:sz w:val="20"/>
          <w:szCs w:val="20"/>
        </w:rPr>
      </w:pPr>
      <w:r>
        <w:rPr>
          <w:rFonts w:ascii="Verdana" w:hAnsi="Verdana"/>
          <w:sz w:val="20"/>
          <w:szCs w:val="20"/>
        </w:rPr>
        <w:t xml:space="preserve">Release: Immediate </w:t>
      </w:r>
    </w:p>
    <w:p w14:paraId="009F4567" w14:textId="77777777" w:rsidR="00952C4B" w:rsidRDefault="00952C4B" w:rsidP="00952C4B">
      <w:pPr>
        <w:rPr>
          <w:rFonts w:ascii="Verdana" w:hAnsi="Verdana"/>
          <w:sz w:val="20"/>
          <w:szCs w:val="20"/>
        </w:rPr>
      </w:pPr>
    </w:p>
    <w:p w14:paraId="7936292D" w14:textId="77777777" w:rsidR="00952C4B" w:rsidRDefault="00952C4B" w:rsidP="00952C4B">
      <w:pPr>
        <w:spacing w:line="360" w:lineRule="auto"/>
        <w:rPr>
          <w:rFonts w:ascii="Verdana" w:hAnsi="Verdana"/>
          <w:sz w:val="20"/>
          <w:szCs w:val="20"/>
        </w:rPr>
      </w:pPr>
      <w:r>
        <w:rPr>
          <w:rFonts w:ascii="Verdana" w:hAnsi="Verdana"/>
          <w:sz w:val="20"/>
          <w:szCs w:val="20"/>
        </w:rPr>
        <w:t>Madame Speaker,</w:t>
      </w:r>
    </w:p>
    <w:p w14:paraId="2DD69C5C" w14:textId="77777777" w:rsidR="00952C4B" w:rsidRDefault="00952C4B" w:rsidP="00952C4B">
      <w:pPr>
        <w:spacing w:line="360" w:lineRule="auto"/>
      </w:pPr>
    </w:p>
    <w:p w14:paraId="1D3941ED" w14:textId="77777777" w:rsidR="00952C4B" w:rsidRDefault="00952C4B" w:rsidP="00952C4B">
      <w:pPr>
        <w:spacing w:line="360" w:lineRule="auto"/>
        <w:rPr>
          <w:rFonts w:ascii="Verdana" w:hAnsi="Verdana"/>
          <w:sz w:val="20"/>
          <w:szCs w:val="20"/>
        </w:rPr>
      </w:pPr>
      <w:r>
        <w:rPr>
          <w:rFonts w:ascii="Verdana" w:hAnsi="Verdana"/>
          <w:sz w:val="20"/>
          <w:szCs w:val="20"/>
        </w:rPr>
        <w:t>The Annual Report allows us to examine the health of the province’s digital backbone. What emerges from the 2024/25 results reinforced by the early signals from 2025/26 is a consistent pattern of systemic fragility across the department’s core functions: infrastructure rollout, procurement transformation, human resource capacity, and digital platform governance.</w:t>
      </w:r>
    </w:p>
    <w:p w14:paraId="38A2E608" w14:textId="77777777" w:rsidR="00952C4B" w:rsidRDefault="00952C4B" w:rsidP="00952C4B">
      <w:pPr>
        <w:spacing w:line="360" w:lineRule="auto"/>
      </w:pPr>
    </w:p>
    <w:p w14:paraId="5C5F9EF1" w14:textId="77777777" w:rsidR="00952C4B" w:rsidRDefault="00952C4B" w:rsidP="00952C4B">
      <w:pPr>
        <w:spacing w:line="360" w:lineRule="auto"/>
        <w:rPr>
          <w:rFonts w:ascii="Verdana" w:hAnsi="Verdana"/>
          <w:sz w:val="20"/>
          <w:szCs w:val="20"/>
        </w:rPr>
      </w:pPr>
      <w:r>
        <w:rPr>
          <w:rFonts w:ascii="Verdana" w:hAnsi="Verdana"/>
          <w:sz w:val="20"/>
          <w:szCs w:val="20"/>
        </w:rPr>
        <w:t>When we map performance across the last three cycles 2023/24, 2024/25, and Quarter one of 2025/26 the trendline is unmistakable. Programme one repeatedly fails on targeted procurement, disability inclusion, employment equity, and youth absorption. Programme two continues to underdeliver on WAN, LAN, and Wi-Fi rollout, despite multiple remediation commitments. These are not isolated variances; they are persistent deviations indicating structural weaknesses in project governance, specification discipline, and interdepartmental coordination.</w:t>
      </w:r>
    </w:p>
    <w:p w14:paraId="5B615BD1" w14:textId="77777777" w:rsidR="00952C4B" w:rsidRDefault="00952C4B" w:rsidP="00952C4B">
      <w:pPr>
        <w:spacing w:line="360" w:lineRule="auto"/>
      </w:pPr>
    </w:p>
    <w:p w14:paraId="410C39B7" w14:textId="77777777" w:rsidR="00952C4B" w:rsidRDefault="00952C4B" w:rsidP="00952C4B">
      <w:pPr>
        <w:spacing w:line="360" w:lineRule="auto"/>
        <w:rPr>
          <w:rFonts w:ascii="Verdana" w:hAnsi="Verdana"/>
          <w:sz w:val="20"/>
          <w:szCs w:val="20"/>
        </w:rPr>
      </w:pPr>
      <w:r>
        <w:rPr>
          <w:rFonts w:ascii="Verdana" w:hAnsi="Verdana"/>
          <w:sz w:val="20"/>
          <w:szCs w:val="20"/>
        </w:rPr>
        <w:t>Programme two’s failures point to deeper infrastructural brittleness delayed wayleaves, vandalism, testing failures, and SITA dependency. If Gauteng cannot reliably deliver last-mile connectivity to schools and clinics, it is impossible to scale digital public services or build a data-driven state. Innovation cannot exist without stable pipes.</w:t>
      </w:r>
    </w:p>
    <w:p w14:paraId="0D0F04B0" w14:textId="77777777" w:rsidR="00952C4B" w:rsidRDefault="00952C4B" w:rsidP="00952C4B">
      <w:pPr>
        <w:spacing w:line="360" w:lineRule="auto"/>
      </w:pPr>
    </w:p>
    <w:p w14:paraId="14339A4C" w14:textId="77777777" w:rsidR="00952C4B" w:rsidRDefault="00952C4B" w:rsidP="00952C4B">
      <w:pPr>
        <w:spacing w:line="360" w:lineRule="auto"/>
        <w:rPr>
          <w:rFonts w:ascii="Verdana" w:hAnsi="Verdana"/>
          <w:sz w:val="20"/>
          <w:szCs w:val="20"/>
        </w:rPr>
      </w:pPr>
      <w:r>
        <w:rPr>
          <w:rFonts w:ascii="Verdana" w:hAnsi="Verdana"/>
          <w:sz w:val="20"/>
          <w:szCs w:val="20"/>
        </w:rPr>
        <w:t xml:space="preserve">But Madame Speaker, the most critical governance risk now facing the department and the MEC is the Microsoft Azure and licensing debt, which has accumulated to R631 million across four financial years. The documentation makes it clear: this problem originates in the pandemic years, where an official neglected to manage and pay the Azure account. Microsoft’s late billing and consolidated invoices compounded the error. </w:t>
      </w:r>
      <w:r>
        <w:rPr>
          <w:rFonts w:ascii="Verdana" w:hAnsi="Verdana"/>
          <w:sz w:val="20"/>
          <w:szCs w:val="20"/>
        </w:rPr>
        <w:lastRenderedPageBreak/>
        <w:t>But ultimately, the lack of an internal cloud-cost governance framework allowed the exposure to compound silently.</w:t>
      </w:r>
    </w:p>
    <w:p w14:paraId="1AB31E98" w14:textId="77777777" w:rsidR="00952C4B" w:rsidRDefault="00952C4B" w:rsidP="00952C4B">
      <w:pPr>
        <w:spacing w:line="360" w:lineRule="auto"/>
      </w:pPr>
    </w:p>
    <w:p w14:paraId="64A95D8C" w14:textId="77777777" w:rsidR="00952C4B" w:rsidRDefault="00952C4B" w:rsidP="00952C4B">
      <w:pPr>
        <w:spacing w:line="360" w:lineRule="auto"/>
        <w:rPr>
          <w:rFonts w:ascii="Verdana" w:hAnsi="Verdana"/>
          <w:sz w:val="20"/>
          <w:szCs w:val="20"/>
        </w:rPr>
      </w:pPr>
      <w:r>
        <w:rPr>
          <w:rFonts w:ascii="Verdana" w:hAnsi="Verdana"/>
          <w:sz w:val="20"/>
          <w:szCs w:val="20"/>
        </w:rPr>
        <w:t>Migrating to cloud infrastructure requires three capabilities:</w:t>
      </w:r>
    </w:p>
    <w:p w14:paraId="5076A3C4" w14:textId="77777777" w:rsidR="00952C4B" w:rsidRDefault="00952C4B" w:rsidP="00952C4B">
      <w:pPr>
        <w:numPr>
          <w:ilvl w:val="0"/>
          <w:numId w:val="1"/>
        </w:numPr>
        <w:spacing w:line="360" w:lineRule="auto"/>
        <w:rPr>
          <w:rFonts w:ascii="Verdana" w:eastAsia="Times New Roman" w:hAnsi="Verdana"/>
          <w:sz w:val="20"/>
          <w:szCs w:val="20"/>
        </w:rPr>
      </w:pPr>
      <w:r>
        <w:rPr>
          <w:rFonts w:ascii="Verdana" w:eastAsia="Times New Roman" w:hAnsi="Verdana"/>
          <w:sz w:val="20"/>
          <w:szCs w:val="20"/>
        </w:rPr>
        <w:t>Real-time consumption monitoring,</w:t>
      </w:r>
    </w:p>
    <w:p w14:paraId="72758339" w14:textId="77777777" w:rsidR="00952C4B" w:rsidRDefault="00952C4B" w:rsidP="00952C4B">
      <w:pPr>
        <w:numPr>
          <w:ilvl w:val="0"/>
          <w:numId w:val="1"/>
        </w:numPr>
        <w:spacing w:line="360" w:lineRule="auto"/>
        <w:rPr>
          <w:rFonts w:ascii="Verdana" w:eastAsia="Times New Roman" w:hAnsi="Verdana"/>
          <w:sz w:val="20"/>
          <w:szCs w:val="20"/>
        </w:rPr>
      </w:pPr>
      <w:r>
        <w:rPr>
          <w:rFonts w:ascii="Verdana" w:eastAsia="Times New Roman" w:hAnsi="Verdana"/>
          <w:sz w:val="20"/>
          <w:szCs w:val="20"/>
        </w:rPr>
        <w:t>Department-level cost attribution, and</w:t>
      </w:r>
    </w:p>
    <w:p w14:paraId="21380690" w14:textId="77777777" w:rsidR="00952C4B" w:rsidRDefault="00952C4B" w:rsidP="00952C4B">
      <w:pPr>
        <w:numPr>
          <w:ilvl w:val="0"/>
          <w:numId w:val="1"/>
        </w:numPr>
        <w:spacing w:line="360" w:lineRule="auto"/>
        <w:rPr>
          <w:rFonts w:ascii="Verdana" w:eastAsia="Times New Roman" w:hAnsi="Verdana"/>
          <w:sz w:val="20"/>
          <w:szCs w:val="20"/>
        </w:rPr>
      </w:pPr>
      <w:r>
        <w:rPr>
          <w:rFonts w:ascii="Verdana" w:eastAsia="Times New Roman" w:hAnsi="Verdana"/>
          <w:sz w:val="20"/>
          <w:szCs w:val="20"/>
        </w:rPr>
        <w:t>Forecasting models aligned to financial cycles.</w:t>
      </w:r>
    </w:p>
    <w:p w14:paraId="7D6088AB" w14:textId="77777777" w:rsidR="00952C4B" w:rsidRDefault="00952C4B" w:rsidP="00952C4B">
      <w:pPr>
        <w:spacing w:line="360" w:lineRule="auto"/>
        <w:rPr>
          <w:rFonts w:ascii="Verdana" w:hAnsi="Verdana"/>
          <w:sz w:val="20"/>
          <w:szCs w:val="20"/>
        </w:rPr>
      </w:pPr>
    </w:p>
    <w:p w14:paraId="7B67F776" w14:textId="77777777" w:rsidR="00952C4B" w:rsidRDefault="00952C4B" w:rsidP="00952C4B">
      <w:pPr>
        <w:spacing w:line="360" w:lineRule="auto"/>
        <w:rPr>
          <w:rFonts w:ascii="Verdana" w:hAnsi="Verdana"/>
          <w:sz w:val="20"/>
          <w:szCs w:val="20"/>
        </w:rPr>
      </w:pPr>
      <w:r>
        <w:rPr>
          <w:rFonts w:ascii="Verdana" w:hAnsi="Verdana"/>
          <w:sz w:val="20"/>
          <w:szCs w:val="20"/>
        </w:rPr>
        <w:t>None of these existed. Departments could not pay because invoices were not split. e-Government could not enforce accountability because cost centres were not mapped. And the MEC could not intervene because the extent of the exposure only became visible after years of unmanaged accrual. This is not a procurement issue; it is a systems-governance failure.</w:t>
      </w:r>
    </w:p>
    <w:p w14:paraId="5E8D6712" w14:textId="77777777" w:rsidR="00952C4B" w:rsidRDefault="00952C4B" w:rsidP="00952C4B">
      <w:pPr>
        <w:spacing w:line="360" w:lineRule="auto"/>
      </w:pPr>
    </w:p>
    <w:p w14:paraId="71B80B75" w14:textId="0DBA6A76" w:rsidR="00952C4B" w:rsidRDefault="00952C4B" w:rsidP="00952C4B">
      <w:pPr>
        <w:spacing w:line="360" w:lineRule="auto"/>
        <w:rPr>
          <w:rFonts w:ascii="Verdana" w:hAnsi="Verdana"/>
          <w:sz w:val="20"/>
          <w:szCs w:val="20"/>
        </w:rPr>
      </w:pPr>
      <w:r>
        <w:rPr>
          <w:rFonts w:ascii="Verdana" w:hAnsi="Verdana"/>
          <w:sz w:val="20"/>
          <w:szCs w:val="20"/>
        </w:rPr>
        <w:t xml:space="preserve">Speaker, the new Head of Department (HOD) has inherited a highly constrained environment. This is precisely why the Department must now shift from aspirational innovation language to capability sequencing. The </w:t>
      </w:r>
      <w:proofErr w:type="gramStart"/>
      <w:r>
        <w:rPr>
          <w:rFonts w:ascii="Verdana" w:hAnsi="Verdana"/>
          <w:sz w:val="20"/>
          <w:szCs w:val="20"/>
        </w:rPr>
        <w:t>first priority</w:t>
      </w:r>
      <w:proofErr w:type="gramEnd"/>
      <w:r>
        <w:rPr>
          <w:rFonts w:ascii="Verdana" w:hAnsi="Verdana"/>
          <w:sz w:val="20"/>
          <w:szCs w:val="20"/>
        </w:rPr>
        <w:t xml:space="preserve"> is to stabilise the GPN infrastructure</w:t>
      </w:r>
      <w:r w:rsidRPr="00952C4B">
        <w:rPr>
          <w:rFonts w:ascii="Verdana" w:hAnsi="Verdana"/>
          <w:sz w:val="20"/>
          <w:szCs w:val="20"/>
        </w:rPr>
        <w:t>. The second is to build a sovereign data layer: large, clean public datasets, with metadata standards and security baselines. The third is to initiate recruitment of data scientists, data engineers, and cloud-cost analysts to operationalise real governance of provincial data assets</w:t>
      </w:r>
      <w:r w:rsidRPr="00952C4B">
        <w:rPr>
          <w:rFonts w:ascii="Verdana" w:hAnsi="Verdana"/>
          <w:sz w:val="20"/>
          <w:szCs w:val="20"/>
        </w:rPr>
        <w:t>.</w:t>
      </w:r>
    </w:p>
    <w:p w14:paraId="3C9C7340" w14:textId="77777777" w:rsidR="00952C4B" w:rsidRDefault="00952C4B" w:rsidP="00952C4B">
      <w:pPr>
        <w:spacing w:line="360" w:lineRule="auto"/>
      </w:pPr>
    </w:p>
    <w:p w14:paraId="58FE3FE1" w14:textId="77777777" w:rsidR="00952C4B" w:rsidRDefault="00952C4B" w:rsidP="00952C4B">
      <w:pPr>
        <w:spacing w:line="360" w:lineRule="auto"/>
        <w:rPr>
          <w:rFonts w:ascii="Verdana" w:hAnsi="Verdana"/>
          <w:sz w:val="20"/>
          <w:szCs w:val="20"/>
        </w:rPr>
      </w:pPr>
      <w:r>
        <w:rPr>
          <w:rFonts w:ascii="Verdana" w:hAnsi="Verdana"/>
          <w:sz w:val="20"/>
          <w:szCs w:val="20"/>
        </w:rPr>
        <w:t>Only once the department owns the pre-deployment pipeline from data ingestion to feature engineering and model evaluation can entities like the Innovation Hub responsibly manage deployment, youth training, and field-level operationalisation.</w:t>
      </w:r>
    </w:p>
    <w:p w14:paraId="2CE58E94" w14:textId="77777777" w:rsidR="00952C4B" w:rsidRDefault="00952C4B" w:rsidP="00952C4B">
      <w:pPr>
        <w:spacing w:line="360" w:lineRule="auto"/>
      </w:pPr>
    </w:p>
    <w:p w14:paraId="7D9B968F" w14:textId="156F8946" w:rsidR="00952C4B" w:rsidRDefault="00952C4B" w:rsidP="00952C4B">
      <w:pPr>
        <w:spacing w:line="360" w:lineRule="auto"/>
        <w:rPr>
          <w:rFonts w:ascii="Verdana" w:hAnsi="Verdana"/>
          <w:sz w:val="20"/>
          <w:szCs w:val="20"/>
        </w:rPr>
      </w:pPr>
      <w:r>
        <w:rPr>
          <w:rFonts w:ascii="Verdana" w:hAnsi="Verdana"/>
          <w:sz w:val="20"/>
          <w:szCs w:val="20"/>
        </w:rPr>
        <w:t xml:space="preserve">Chairperson, digital transformation is not achieved through buzzwords. It is achieved through infrastructure reliability, transparent financial governance, explainable AI foundations, and a disciplined reduction of vendor lock-in. If the Department focuses on these fundamentals, it can still reclaim the leadership role it should play in Gauteng’s web </w:t>
      </w:r>
      <w:r>
        <w:rPr>
          <w:rFonts w:ascii="Verdana" w:hAnsi="Verdana"/>
          <w:sz w:val="20"/>
          <w:szCs w:val="20"/>
        </w:rPr>
        <w:t>native future</w:t>
      </w:r>
      <w:r>
        <w:rPr>
          <w:rFonts w:ascii="Verdana" w:hAnsi="Verdana"/>
          <w:sz w:val="20"/>
          <w:szCs w:val="20"/>
        </w:rPr>
        <w:t>.</w:t>
      </w:r>
    </w:p>
    <w:p w14:paraId="54EBE123" w14:textId="77777777" w:rsidR="00952C4B" w:rsidRDefault="00952C4B" w:rsidP="00952C4B">
      <w:pPr>
        <w:spacing w:line="360" w:lineRule="auto"/>
      </w:pPr>
    </w:p>
    <w:p w14:paraId="7828D8D9" w14:textId="77777777" w:rsidR="00952C4B" w:rsidRDefault="00952C4B" w:rsidP="00952C4B">
      <w:pPr>
        <w:spacing w:line="360" w:lineRule="auto"/>
        <w:rPr>
          <w:rFonts w:ascii="Verdana" w:hAnsi="Verdana"/>
          <w:sz w:val="20"/>
          <w:szCs w:val="20"/>
        </w:rPr>
      </w:pPr>
      <w:r>
        <w:rPr>
          <w:rFonts w:ascii="Verdana" w:hAnsi="Verdana"/>
          <w:sz w:val="20"/>
          <w:szCs w:val="20"/>
        </w:rPr>
        <w:t>Thank you.</w:t>
      </w:r>
    </w:p>
    <w:p w14:paraId="5213F491" w14:textId="77777777" w:rsidR="00952C4B" w:rsidRDefault="00952C4B" w:rsidP="00952C4B">
      <w:pPr>
        <w:spacing w:line="360" w:lineRule="auto"/>
      </w:pPr>
    </w:p>
    <w:p w14:paraId="629A42B4" w14:textId="77777777" w:rsidR="00952C4B" w:rsidRDefault="00952C4B" w:rsidP="00952C4B">
      <w:pPr>
        <w:rPr>
          <w:rFonts w:ascii="Verdana" w:hAnsi="Verdana"/>
          <w:b/>
          <w:bCs/>
          <w:color w:val="000000"/>
          <w:sz w:val="20"/>
          <w:szCs w:val="20"/>
          <w:shd w:val="clear" w:color="auto" w:fill="FFFFFF"/>
          <w:lang w:val="en-GB" w:eastAsia="en-GB"/>
        </w:rPr>
      </w:pPr>
      <w:r>
        <w:rPr>
          <w:rFonts w:ascii="Verdana" w:hAnsi="Verdana"/>
          <w:b/>
          <w:bCs/>
          <w:color w:val="000000"/>
          <w:sz w:val="20"/>
          <w:szCs w:val="20"/>
          <w:shd w:val="clear" w:color="auto" w:fill="FFFFFF"/>
          <w:lang w:val="en-GB" w:eastAsia="en-GB"/>
        </w:rPr>
        <w:t>Media Enquiries:</w:t>
      </w:r>
    </w:p>
    <w:p w14:paraId="52FDE009" w14:textId="77777777" w:rsidR="00952C4B" w:rsidRDefault="00952C4B" w:rsidP="00952C4B">
      <w:pPr>
        <w:spacing w:after="240"/>
        <w:rPr>
          <w:rFonts w:ascii="Verdana" w:hAnsi="Verdana"/>
          <w:color w:val="000000"/>
          <w:sz w:val="20"/>
          <w:szCs w:val="20"/>
          <w:shd w:val="clear" w:color="auto" w:fill="FFFFFF"/>
          <w:lang w:val="en-GB" w:eastAsia="en-GB"/>
        </w:rPr>
      </w:pPr>
      <w:r>
        <w:rPr>
          <w:rFonts w:ascii="Verdana" w:hAnsi="Verdana"/>
          <w:b/>
          <w:bCs/>
          <w:color w:val="000000"/>
          <w:sz w:val="20"/>
          <w:szCs w:val="20"/>
          <w:shd w:val="clear" w:color="auto" w:fill="FFFFFF"/>
          <w:lang w:val="en-GB" w:eastAsia="en-GB"/>
        </w:rPr>
        <w:t>Ina Cilliers MPL</w:t>
      </w:r>
      <w:r>
        <w:rPr>
          <w:rFonts w:ascii="Verdana" w:hAnsi="Verdana"/>
          <w:color w:val="000000"/>
          <w:sz w:val="20"/>
          <w:szCs w:val="20"/>
          <w:shd w:val="clear" w:color="auto" w:fill="FFFFFF"/>
          <w:lang w:val="en-GB" w:eastAsia="en-GB"/>
        </w:rPr>
        <w:br/>
        <w:t>DA Gauteng Shadow MEC for E-Government and Research Development</w:t>
      </w:r>
      <w:r>
        <w:rPr>
          <w:rFonts w:ascii="Verdana" w:hAnsi="Verdana"/>
          <w:color w:val="000000"/>
          <w:sz w:val="20"/>
          <w:szCs w:val="20"/>
          <w:shd w:val="clear" w:color="auto" w:fill="FFFFFF"/>
          <w:lang w:val="en-GB" w:eastAsia="en-GB"/>
        </w:rPr>
        <w:br/>
        <w:t>060 556 4344 </w:t>
      </w:r>
      <w:r>
        <w:rPr>
          <w:rFonts w:ascii="Verdana" w:hAnsi="Verdana"/>
          <w:b/>
          <w:bCs/>
          <w:color w:val="000000"/>
          <w:sz w:val="20"/>
          <w:szCs w:val="20"/>
          <w:shd w:val="clear" w:color="auto" w:fill="FFFFFF"/>
          <w:lang w:val="en-GB" w:eastAsia="en-GB"/>
        </w:rPr>
        <w:t>      </w:t>
      </w:r>
      <w:r>
        <w:rPr>
          <w:rFonts w:ascii="Verdana" w:hAnsi="Verdana"/>
          <w:color w:val="000000"/>
          <w:sz w:val="20"/>
          <w:szCs w:val="20"/>
          <w:shd w:val="clear" w:color="auto" w:fill="FFFFFF"/>
          <w:lang w:val="en-GB" w:eastAsia="en-GB"/>
        </w:rPr>
        <w:t>   </w:t>
      </w:r>
    </w:p>
    <w:p w14:paraId="51900B6C" w14:textId="77777777" w:rsidR="009A67D0" w:rsidRPr="00AF2E38" w:rsidRDefault="009A67D0">
      <w:pPr>
        <w:rPr>
          <w:rFonts w:ascii="Verdana" w:hAnsi="Verdana"/>
          <w:sz w:val="20"/>
          <w:szCs w:val="20"/>
        </w:rPr>
      </w:pPr>
    </w:p>
    <w:sectPr w:rsidR="009A67D0" w:rsidRPr="00AF2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53E17"/>
    <w:multiLevelType w:val="multilevel"/>
    <w:tmpl w:val="932C9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4764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D0"/>
    <w:rsid w:val="008470A9"/>
    <w:rsid w:val="00952C4B"/>
    <w:rsid w:val="009A67D0"/>
    <w:rsid w:val="00AF2E38"/>
    <w:rsid w:val="00D02E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2969"/>
  <w15:chartTrackingRefBased/>
  <w15:docId w15:val="{32B0986E-2CA2-4347-BB1C-3C69E30B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D0"/>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9A6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7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7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7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7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7D0"/>
    <w:rPr>
      <w:rFonts w:eastAsiaTheme="majorEastAsia" w:cstheme="majorBidi"/>
      <w:color w:val="272727" w:themeColor="text1" w:themeTint="D8"/>
    </w:rPr>
  </w:style>
  <w:style w:type="paragraph" w:styleId="Title">
    <w:name w:val="Title"/>
    <w:basedOn w:val="Normal"/>
    <w:next w:val="Normal"/>
    <w:link w:val="TitleChar"/>
    <w:uiPriority w:val="10"/>
    <w:qFormat/>
    <w:rsid w:val="009A6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7D0"/>
    <w:pPr>
      <w:spacing w:before="160"/>
      <w:jc w:val="center"/>
    </w:pPr>
    <w:rPr>
      <w:i/>
      <w:iCs/>
      <w:color w:val="404040" w:themeColor="text1" w:themeTint="BF"/>
    </w:rPr>
  </w:style>
  <w:style w:type="character" w:customStyle="1" w:styleId="QuoteChar">
    <w:name w:val="Quote Char"/>
    <w:basedOn w:val="DefaultParagraphFont"/>
    <w:link w:val="Quote"/>
    <w:uiPriority w:val="29"/>
    <w:rsid w:val="009A67D0"/>
    <w:rPr>
      <w:i/>
      <w:iCs/>
      <w:color w:val="404040" w:themeColor="text1" w:themeTint="BF"/>
    </w:rPr>
  </w:style>
  <w:style w:type="paragraph" w:styleId="ListParagraph">
    <w:name w:val="List Paragraph"/>
    <w:basedOn w:val="Normal"/>
    <w:uiPriority w:val="34"/>
    <w:qFormat/>
    <w:rsid w:val="009A67D0"/>
    <w:pPr>
      <w:ind w:left="720"/>
      <w:contextualSpacing/>
    </w:pPr>
  </w:style>
  <w:style w:type="character" w:styleId="IntenseEmphasis">
    <w:name w:val="Intense Emphasis"/>
    <w:basedOn w:val="DefaultParagraphFont"/>
    <w:uiPriority w:val="21"/>
    <w:qFormat/>
    <w:rsid w:val="009A67D0"/>
    <w:rPr>
      <w:i/>
      <w:iCs/>
      <w:color w:val="0F4761" w:themeColor="accent1" w:themeShade="BF"/>
    </w:rPr>
  </w:style>
  <w:style w:type="paragraph" w:styleId="IntenseQuote">
    <w:name w:val="Intense Quote"/>
    <w:basedOn w:val="Normal"/>
    <w:next w:val="Normal"/>
    <w:link w:val="IntenseQuoteChar"/>
    <w:uiPriority w:val="30"/>
    <w:qFormat/>
    <w:rsid w:val="009A6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7D0"/>
    <w:rPr>
      <w:i/>
      <w:iCs/>
      <w:color w:val="0F4761" w:themeColor="accent1" w:themeShade="BF"/>
    </w:rPr>
  </w:style>
  <w:style w:type="character" w:styleId="IntenseReference">
    <w:name w:val="Intense Reference"/>
    <w:basedOn w:val="DefaultParagraphFont"/>
    <w:uiPriority w:val="32"/>
    <w:qFormat/>
    <w:rsid w:val="009A67D0"/>
    <w:rPr>
      <w:b/>
      <w:bCs/>
      <w:smallCaps/>
      <w:color w:val="0F4761" w:themeColor="accent1" w:themeShade="BF"/>
      <w:spacing w:val="5"/>
    </w:rPr>
  </w:style>
  <w:style w:type="paragraph" w:customStyle="1" w:styleId="elementtoproof">
    <w:name w:val="elementtoproof"/>
    <w:basedOn w:val="Normal"/>
    <w:uiPriority w:val="99"/>
    <w:rsid w:val="009A67D0"/>
  </w:style>
  <w:style w:type="paragraph" w:styleId="NormalWeb">
    <w:name w:val="Normal (Web)"/>
    <w:basedOn w:val="Normal"/>
    <w:uiPriority w:val="99"/>
    <w:unhideWhenUsed/>
    <w:rsid w:val="009A67D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A6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2025-12-04T06:00:00Z</dcterms:created>
  <dcterms:modified xsi:type="dcterms:W3CDTF">2025-12-04T06:37:00Z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2025-12-04T06:37:39Z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6ec94481-94b9-4c00-b388-a2a4a1557b52</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