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0790" w14:textId="77777777" w:rsidR="0081375E" w:rsidRDefault="0081375E" w:rsidP="0081375E">
      <w:pPr>
        <w:rPr>
          <w:rFonts w:ascii="Verdana" w:hAnsi="Verdana"/>
          <w:sz w:val="20"/>
          <w:szCs w:val="20"/>
        </w:rPr>
      </w:pPr>
      <w:r>
        <w:rPr>
          <w:rFonts w:ascii="Verdana" w:hAnsi="Verdana"/>
          <w:sz w:val="20"/>
          <w:szCs w:val="20"/>
        </w:rPr>
        <w:t>Democratic Alliance speech by</w:t>
      </w:r>
    </w:p>
    <w:p w14:paraId="0158C96D" w14:textId="77777777" w:rsidR="0081375E" w:rsidRDefault="0081375E" w:rsidP="0081375E">
      <w:pPr>
        <w:rPr>
          <w:rFonts w:ascii="Verdana" w:hAnsi="Verdana"/>
          <w:b/>
          <w:bCs/>
          <w:sz w:val="20"/>
          <w:szCs w:val="20"/>
        </w:rPr>
      </w:pPr>
      <w:bookmarkStart w:id="0" w:name="_Hlk215055329"/>
      <w:r>
        <w:rPr>
          <w:rFonts w:ascii="Verdana" w:hAnsi="Verdana"/>
          <w:b/>
          <w:bCs/>
          <w:sz w:val="20"/>
          <w:szCs w:val="20"/>
        </w:rPr>
        <w:t>Kingsol Chabalala MPL</w:t>
      </w:r>
    </w:p>
    <w:p w14:paraId="46341138" w14:textId="77777777" w:rsidR="0081375E" w:rsidRDefault="0081375E" w:rsidP="0081375E">
      <w:pPr>
        <w:rPr>
          <w:rFonts w:ascii="Verdana" w:hAnsi="Verdana"/>
          <w:sz w:val="20"/>
          <w:szCs w:val="20"/>
        </w:rPr>
      </w:pPr>
      <w:r>
        <w:rPr>
          <w:rFonts w:ascii="Verdana" w:hAnsi="Verdana"/>
          <w:sz w:val="20"/>
          <w:szCs w:val="20"/>
        </w:rPr>
        <w:t>DA Gauteng Shadow MEC for Sports, Arts, Culture and Recreation (SACR)</w:t>
      </w:r>
    </w:p>
    <w:bookmarkEnd w:id="0"/>
    <w:p w14:paraId="56857B25" w14:textId="77777777" w:rsidR="0081375E" w:rsidRDefault="0081375E" w:rsidP="0081375E">
      <w:pPr>
        <w:rPr>
          <w:rFonts w:ascii="Verdana" w:hAnsi="Verdana"/>
          <w:sz w:val="20"/>
          <w:szCs w:val="20"/>
        </w:rPr>
      </w:pPr>
    </w:p>
    <w:p w14:paraId="59D20BAA" w14:textId="77777777" w:rsidR="0081375E" w:rsidRDefault="0081375E" w:rsidP="0081375E">
      <w:pPr>
        <w:rPr>
          <w:rFonts w:ascii="Georgia" w:hAnsi="Georgia"/>
          <w:sz w:val="44"/>
          <w:szCs w:val="44"/>
        </w:rPr>
      </w:pPr>
      <w:r>
        <w:rPr>
          <w:rFonts w:ascii="Georgia" w:hAnsi="Georgia"/>
          <w:sz w:val="44"/>
          <w:szCs w:val="44"/>
        </w:rPr>
        <w:t>Underperforming Gauteng Department of Sports, Arts, Culture and Recreation is a disgrace</w:t>
      </w:r>
    </w:p>
    <w:p w14:paraId="6A164EB3" w14:textId="77777777" w:rsidR="0081375E" w:rsidRDefault="0081375E" w:rsidP="0081375E">
      <w:pPr>
        <w:rPr>
          <w:rFonts w:ascii="Verdana" w:hAnsi="Verdana"/>
          <w:sz w:val="20"/>
          <w:szCs w:val="20"/>
        </w:rPr>
      </w:pPr>
    </w:p>
    <w:p w14:paraId="74D60FFA" w14:textId="77777777" w:rsidR="0081375E" w:rsidRDefault="0081375E" w:rsidP="0081375E">
      <w:pPr>
        <w:rPr>
          <w:rFonts w:ascii="Verdana" w:hAnsi="Verdana"/>
          <w:sz w:val="20"/>
          <w:szCs w:val="20"/>
        </w:rPr>
      </w:pPr>
      <w:r>
        <w:rPr>
          <w:rFonts w:ascii="Verdana" w:hAnsi="Verdana"/>
          <w:sz w:val="20"/>
          <w:szCs w:val="20"/>
        </w:rPr>
        <w:t>26 November 2025</w:t>
      </w:r>
    </w:p>
    <w:p w14:paraId="532FD9B0" w14:textId="77777777" w:rsidR="0081375E" w:rsidRDefault="0081375E" w:rsidP="0081375E">
      <w:pPr>
        <w:rPr>
          <w:rFonts w:ascii="Verdana" w:hAnsi="Verdana"/>
          <w:sz w:val="20"/>
          <w:szCs w:val="20"/>
        </w:rPr>
      </w:pPr>
      <w:r>
        <w:rPr>
          <w:rFonts w:ascii="Verdana" w:hAnsi="Verdana"/>
          <w:sz w:val="20"/>
          <w:szCs w:val="20"/>
        </w:rPr>
        <w:t xml:space="preserve">Release: immediately </w:t>
      </w:r>
    </w:p>
    <w:p w14:paraId="6DBF161E" w14:textId="77777777" w:rsidR="0081375E" w:rsidRDefault="0081375E" w:rsidP="0081375E">
      <w:pPr>
        <w:rPr>
          <w:rFonts w:ascii="Verdana" w:hAnsi="Verdana"/>
          <w:sz w:val="20"/>
          <w:szCs w:val="20"/>
        </w:rPr>
      </w:pPr>
    </w:p>
    <w:p w14:paraId="56C06D4A" w14:textId="77777777" w:rsidR="0081375E" w:rsidRDefault="0081375E" w:rsidP="0081375E">
      <w:pPr>
        <w:rPr>
          <w:rFonts w:ascii="Verdana" w:hAnsi="Verdana"/>
          <w:sz w:val="20"/>
          <w:szCs w:val="20"/>
        </w:rPr>
      </w:pPr>
      <w:r>
        <w:rPr>
          <w:rFonts w:ascii="Verdana" w:hAnsi="Verdana"/>
          <w:sz w:val="20"/>
          <w:szCs w:val="20"/>
        </w:rPr>
        <w:t xml:space="preserve">Honourable Speaker, </w:t>
      </w:r>
    </w:p>
    <w:p w14:paraId="2F2D9B68" w14:textId="77777777" w:rsidR="0081375E" w:rsidRDefault="0081375E" w:rsidP="0081375E">
      <w:pPr>
        <w:rPr>
          <w:rFonts w:ascii="Verdana" w:hAnsi="Verdana"/>
          <w:sz w:val="20"/>
          <w:szCs w:val="20"/>
        </w:rPr>
      </w:pPr>
      <w:r>
        <w:rPr>
          <w:rFonts w:ascii="Verdana" w:hAnsi="Verdana"/>
          <w:sz w:val="20"/>
          <w:szCs w:val="20"/>
        </w:rPr>
        <w:br/>
        <w:t>The Department of Sports, Arts, Culture and Recreation (SACR) achieved only 62% of its annual targets, despite spending 91% of its budget. This is a failure in basic governance. Instead of progress, we see regression. If we are spending almost all the money, but achieving only half the work, that is not service delivery, that is a failure of governance. It is the very definition of no value for money.</w:t>
      </w:r>
    </w:p>
    <w:p w14:paraId="03AFB15D" w14:textId="77777777" w:rsidR="0081375E" w:rsidRDefault="0081375E" w:rsidP="0081375E">
      <w:pPr>
        <w:rPr>
          <w:rFonts w:ascii="Verdana" w:hAnsi="Verdana"/>
          <w:sz w:val="20"/>
          <w:szCs w:val="20"/>
        </w:rPr>
      </w:pPr>
    </w:p>
    <w:p w14:paraId="0633E254" w14:textId="77777777" w:rsidR="0081375E" w:rsidRDefault="0081375E" w:rsidP="0081375E">
      <w:pPr>
        <w:rPr>
          <w:rFonts w:ascii="Verdana" w:hAnsi="Verdana"/>
          <w:sz w:val="20"/>
          <w:szCs w:val="20"/>
        </w:rPr>
      </w:pPr>
      <w:r>
        <w:rPr>
          <w:rFonts w:ascii="Verdana" w:hAnsi="Verdana"/>
          <w:sz w:val="20"/>
          <w:szCs w:val="20"/>
        </w:rPr>
        <w:t>Worse still, the audit opinion has declined from unqualified to qualified. This deterioration reflects collapsing internal controls, weak financial oversight, and a department that is simply not being managed.</w:t>
      </w:r>
    </w:p>
    <w:p w14:paraId="0F7E6412" w14:textId="77777777" w:rsidR="0081375E" w:rsidRDefault="0081375E" w:rsidP="0081375E">
      <w:pPr>
        <w:rPr>
          <w:rFonts w:ascii="Verdana" w:hAnsi="Verdana"/>
          <w:sz w:val="20"/>
          <w:szCs w:val="20"/>
        </w:rPr>
      </w:pPr>
    </w:p>
    <w:p w14:paraId="7ED1B8D0" w14:textId="77777777" w:rsidR="0081375E" w:rsidRDefault="0081375E" w:rsidP="0081375E">
      <w:pPr>
        <w:rPr>
          <w:rFonts w:ascii="Verdana" w:hAnsi="Verdana"/>
          <w:sz w:val="20"/>
          <w:szCs w:val="20"/>
        </w:rPr>
      </w:pPr>
      <w:r>
        <w:rPr>
          <w:rFonts w:ascii="Verdana" w:hAnsi="Verdana"/>
          <w:sz w:val="20"/>
          <w:szCs w:val="20"/>
        </w:rPr>
        <w:t>The Auditor General further found that:</w:t>
      </w:r>
    </w:p>
    <w:p w14:paraId="4EABFF32" w14:textId="77777777" w:rsidR="0081375E" w:rsidRDefault="0081375E" w:rsidP="0081375E">
      <w:pPr>
        <w:numPr>
          <w:ilvl w:val="0"/>
          <w:numId w:val="1"/>
        </w:numPr>
        <w:spacing w:after="0" w:line="240" w:lineRule="auto"/>
        <w:rPr>
          <w:rFonts w:ascii="Verdana" w:eastAsia="Times New Roman" w:hAnsi="Verdana"/>
          <w:sz w:val="20"/>
          <w:szCs w:val="20"/>
        </w:rPr>
      </w:pPr>
      <w:r>
        <w:rPr>
          <w:rFonts w:ascii="Verdana" w:eastAsia="Times New Roman" w:hAnsi="Verdana"/>
          <w:sz w:val="20"/>
          <w:szCs w:val="20"/>
        </w:rPr>
        <w:t>Transactions above R1 million were processed without competitive bidding, violating Treasury Regulations and Section 38(1)(f) of the PFMA.</w:t>
      </w:r>
    </w:p>
    <w:p w14:paraId="3769EFEA" w14:textId="77777777" w:rsidR="0081375E" w:rsidRDefault="0081375E" w:rsidP="0081375E">
      <w:pPr>
        <w:numPr>
          <w:ilvl w:val="0"/>
          <w:numId w:val="1"/>
        </w:numPr>
        <w:spacing w:after="0" w:line="240" w:lineRule="auto"/>
        <w:rPr>
          <w:rFonts w:ascii="Verdana" w:eastAsia="Times New Roman" w:hAnsi="Verdana"/>
          <w:sz w:val="20"/>
          <w:szCs w:val="20"/>
        </w:rPr>
      </w:pPr>
      <w:r>
        <w:rPr>
          <w:rFonts w:ascii="Verdana" w:eastAsia="Times New Roman" w:hAnsi="Verdana"/>
          <w:sz w:val="20"/>
          <w:szCs w:val="20"/>
        </w:rPr>
        <w:t>Payments were not made within 30 days.</w:t>
      </w:r>
    </w:p>
    <w:p w14:paraId="7625BA2C" w14:textId="77777777" w:rsidR="0081375E" w:rsidRDefault="0081375E" w:rsidP="0081375E">
      <w:pPr>
        <w:numPr>
          <w:ilvl w:val="0"/>
          <w:numId w:val="1"/>
        </w:numPr>
        <w:spacing w:after="0" w:line="240" w:lineRule="auto"/>
        <w:rPr>
          <w:rFonts w:ascii="Verdana" w:eastAsia="Times New Roman" w:hAnsi="Verdana"/>
          <w:sz w:val="20"/>
          <w:szCs w:val="20"/>
        </w:rPr>
      </w:pPr>
      <w:r>
        <w:rPr>
          <w:rFonts w:ascii="Verdana" w:eastAsia="Times New Roman" w:hAnsi="Verdana"/>
          <w:sz w:val="20"/>
          <w:szCs w:val="20"/>
        </w:rPr>
        <w:t>Four out of six key 2023/24 AG recommendations were never implemented.</w:t>
      </w:r>
    </w:p>
    <w:p w14:paraId="206425D8" w14:textId="77777777" w:rsidR="0081375E" w:rsidRDefault="0081375E" w:rsidP="0081375E">
      <w:pPr>
        <w:rPr>
          <w:rFonts w:ascii="Verdana" w:hAnsi="Verdana"/>
          <w:sz w:val="20"/>
          <w:szCs w:val="20"/>
        </w:rPr>
      </w:pPr>
    </w:p>
    <w:p w14:paraId="3D0C8CB0" w14:textId="77777777" w:rsidR="0081375E" w:rsidRDefault="0081375E" w:rsidP="0081375E">
      <w:pPr>
        <w:rPr>
          <w:rFonts w:ascii="Verdana" w:hAnsi="Verdana"/>
          <w:sz w:val="20"/>
          <w:szCs w:val="20"/>
        </w:rPr>
      </w:pPr>
      <w:r>
        <w:rPr>
          <w:rFonts w:ascii="Verdana" w:hAnsi="Verdana"/>
          <w:sz w:val="20"/>
          <w:szCs w:val="20"/>
        </w:rPr>
        <w:t xml:space="preserve">Should we be expecting an MEC handling two major portfolios to fully be present for both? While Premier Lesufi may </w:t>
      </w:r>
      <w:proofErr w:type="gramStart"/>
      <w:r>
        <w:rPr>
          <w:rFonts w:ascii="Verdana" w:hAnsi="Verdana"/>
          <w:sz w:val="20"/>
          <w:szCs w:val="20"/>
        </w:rPr>
        <w:t>had</w:t>
      </w:r>
      <w:proofErr w:type="gramEnd"/>
      <w:r>
        <w:rPr>
          <w:rFonts w:ascii="Verdana" w:hAnsi="Verdana"/>
          <w:sz w:val="20"/>
          <w:szCs w:val="20"/>
        </w:rPr>
        <w:t xml:space="preserve"> his hopes, the results have been evident that MEC Chiloane as this this department suffers from his lack of prioritisation.   </w:t>
      </w:r>
    </w:p>
    <w:p w14:paraId="257DFEC7" w14:textId="77777777" w:rsidR="0081375E" w:rsidRDefault="0081375E" w:rsidP="0081375E">
      <w:pPr>
        <w:rPr>
          <w:rFonts w:ascii="Verdana" w:hAnsi="Verdana"/>
          <w:sz w:val="20"/>
          <w:szCs w:val="20"/>
        </w:rPr>
      </w:pPr>
    </w:p>
    <w:p w14:paraId="6DA3CCAA" w14:textId="77777777" w:rsidR="0081375E" w:rsidRDefault="0081375E" w:rsidP="0081375E">
      <w:pPr>
        <w:rPr>
          <w:rFonts w:ascii="Verdana" w:hAnsi="Verdana"/>
          <w:sz w:val="20"/>
          <w:szCs w:val="20"/>
        </w:rPr>
      </w:pPr>
      <w:r>
        <w:rPr>
          <w:rFonts w:ascii="Verdana" w:hAnsi="Verdana"/>
          <w:sz w:val="20"/>
          <w:szCs w:val="20"/>
        </w:rPr>
        <w:t>The consequences of MEC Chiloane’s divided attention are real.</w:t>
      </w:r>
      <w:r>
        <w:rPr>
          <w:rFonts w:ascii="Verdana" w:hAnsi="Verdana"/>
          <w:sz w:val="20"/>
          <w:szCs w:val="20"/>
        </w:rPr>
        <w:br/>
        <w:t xml:space="preserve">The department failed to build one single library last year. Not one. </w:t>
      </w:r>
      <w:r>
        <w:rPr>
          <w:rFonts w:ascii="Verdana" w:hAnsi="Verdana"/>
          <w:sz w:val="20"/>
          <w:szCs w:val="20"/>
        </w:rPr>
        <w:br/>
        <w:t>No new combi courts.</w:t>
      </w:r>
      <w:r>
        <w:rPr>
          <w:rFonts w:ascii="Verdana" w:hAnsi="Verdana"/>
          <w:sz w:val="20"/>
          <w:szCs w:val="20"/>
        </w:rPr>
        <w:br/>
        <w:t>No new soccer fields.</w:t>
      </w:r>
    </w:p>
    <w:p w14:paraId="3FEF94B0" w14:textId="77777777" w:rsidR="0081375E" w:rsidRDefault="0081375E" w:rsidP="0081375E">
      <w:pPr>
        <w:rPr>
          <w:rFonts w:ascii="Verdana" w:hAnsi="Verdana"/>
          <w:sz w:val="20"/>
          <w:szCs w:val="20"/>
        </w:rPr>
      </w:pPr>
    </w:p>
    <w:p w14:paraId="6527F263" w14:textId="77777777" w:rsidR="0081375E" w:rsidRDefault="0081375E" w:rsidP="0081375E">
      <w:pPr>
        <w:rPr>
          <w:rFonts w:ascii="Verdana" w:hAnsi="Verdana"/>
          <w:sz w:val="20"/>
          <w:szCs w:val="20"/>
        </w:rPr>
      </w:pPr>
      <w:r>
        <w:rPr>
          <w:rFonts w:ascii="Verdana" w:hAnsi="Verdana"/>
          <w:sz w:val="20"/>
          <w:szCs w:val="20"/>
        </w:rPr>
        <w:lastRenderedPageBreak/>
        <w:t>Speaker, the absence of these facilities has a significant negative impact on communities.  It deprives children of safe places to play, it removes platforms for community development, it suppresses talent in sports and arts, and it deepens social inequality in our communities.</w:t>
      </w:r>
    </w:p>
    <w:p w14:paraId="488AA09F" w14:textId="77777777" w:rsidR="0081375E" w:rsidRDefault="0081375E" w:rsidP="0081375E">
      <w:pPr>
        <w:rPr>
          <w:rFonts w:ascii="Verdana" w:hAnsi="Verdana"/>
          <w:sz w:val="20"/>
          <w:szCs w:val="20"/>
        </w:rPr>
      </w:pPr>
    </w:p>
    <w:p w14:paraId="0940D9BE" w14:textId="77777777" w:rsidR="0081375E" w:rsidRDefault="0081375E" w:rsidP="0081375E">
      <w:pPr>
        <w:rPr>
          <w:rFonts w:ascii="Verdana" w:hAnsi="Verdana"/>
          <w:sz w:val="20"/>
          <w:szCs w:val="20"/>
        </w:rPr>
      </w:pPr>
      <w:r>
        <w:rPr>
          <w:rFonts w:ascii="Verdana" w:hAnsi="Verdana"/>
          <w:sz w:val="20"/>
          <w:szCs w:val="20"/>
        </w:rPr>
        <w:t xml:space="preserve">The failures of MEC </w:t>
      </w:r>
      <w:proofErr w:type="spellStart"/>
      <w:r>
        <w:rPr>
          <w:rFonts w:ascii="Verdana" w:hAnsi="Verdana"/>
          <w:sz w:val="20"/>
          <w:szCs w:val="20"/>
        </w:rPr>
        <w:t>Matome</w:t>
      </w:r>
      <w:proofErr w:type="spellEnd"/>
      <w:r>
        <w:rPr>
          <w:rFonts w:ascii="Verdana" w:hAnsi="Verdana"/>
          <w:sz w:val="20"/>
          <w:szCs w:val="20"/>
        </w:rPr>
        <w:t xml:space="preserve"> Chiloane extend beyond performance indicators. He has consistently failed to honour committee meeting invitations. </w:t>
      </w:r>
    </w:p>
    <w:p w14:paraId="17EE09AB" w14:textId="77777777" w:rsidR="0081375E" w:rsidRDefault="0081375E" w:rsidP="0081375E">
      <w:pPr>
        <w:rPr>
          <w:rFonts w:ascii="Verdana" w:hAnsi="Verdana"/>
          <w:sz w:val="20"/>
          <w:szCs w:val="20"/>
        </w:rPr>
      </w:pPr>
    </w:p>
    <w:p w14:paraId="21F5AF14" w14:textId="77777777" w:rsidR="0081375E" w:rsidRDefault="0081375E" w:rsidP="0081375E">
      <w:pPr>
        <w:rPr>
          <w:rFonts w:ascii="Verdana" w:hAnsi="Verdana"/>
          <w:sz w:val="20"/>
          <w:szCs w:val="20"/>
        </w:rPr>
      </w:pPr>
      <w:r>
        <w:rPr>
          <w:rFonts w:ascii="Verdana" w:hAnsi="Verdana"/>
          <w:sz w:val="20"/>
          <w:szCs w:val="20"/>
        </w:rPr>
        <w:t>When an MEC refuses to show up, the department collapses and that is exactly what we are witnessing.</w:t>
      </w:r>
    </w:p>
    <w:p w14:paraId="694A5074" w14:textId="77777777" w:rsidR="0081375E" w:rsidRDefault="0081375E" w:rsidP="0081375E">
      <w:pPr>
        <w:rPr>
          <w:rFonts w:ascii="Verdana" w:hAnsi="Verdana"/>
          <w:sz w:val="20"/>
          <w:szCs w:val="20"/>
        </w:rPr>
      </w:pPr>
    </w:p>
    <w:p w14:paraId="62FD6933" w14:textId="77777777" w:rsidR="0081375E" w:rsidRDefault="0081375E" w:rsidP="0081375E">
      <w:pPr>
        <w:rPr>
          <w:rFonts w:ascii="Verdana" w:hAnsi="Verdana"/>
          <w:sz w:val="20"/>
          <w:szCs w:val="20"/>
        </w:rPr>
      </w:pPr>
      <w:r>
        <w:rPr>
          <w:rFonts w:ascii="Verdana" w:hAnsi="Verdana"/>
          <w:sz w:val="20"/>
          <w:szCs w:val="20"/>
        </w:rPr>
        <w:t>MEC Chiloane should have ensured that previous AGSA recommendations were implemented, including:</w:t>
      </w:r>
    </w:p>
    <w:p w14:paraId="2EB9BB6B" w14:textId="77777777" w:rsidR="0081375E" w:rsidRDefault="0081375E" w:rsidP="0081375E">
      <w:pPr>
        <w:numPr>
          <w:ilvl w:val="0"/>
          <w:numId w:val="2"/>
        </w:numPr>
        <w:spacing w:after="0" w:line="240" w:lineRule="auto"/>
        <w:rPr>
          <w:rFonts w:ascii="Verdana" w:eastAsia="Times New Roman" w:hAnsi="Verdana"/>
          <w:sz w:val="20"/>
          <w:szCs w:val="20"/>
        </w:rPr>
      </w:pPr>
      <w:r>
        <w:rPr>
          <w:rFonts w:ascii="Verdana" w:eastAsia="Times New Roman" w:hAnsi="Verdana"/>
          <w:sz w:val="20"/>
          <w:szCs w:val="20"/>
        </w:rPr>
        <w:t>Filling vacancies in critical posts,</w:t>
      </w:r>
    </w:p>
    <w:p w14:paraId="2657D54F" w14:textId="77777777" w:rsidR="0081375E" w:rsidRDefault="0081375E" w:rsidP="0081375E">
      <w:pPr>
        <w:numPr>
          <w:ilvl w:val="0"/>
          <w:numId w:val="2"/>
        </w:numPr>
        <w:spacing w:after="0" w:line="240" w:lineRule="auto"/>
        <w:rPr>
          <w:rFonts w:ascii="Verdana" w:eastAsia="Times New Roman" w:hAnsi="Verdana"/>
          <w:sz w:val="20"/>
          <w:szCs w:val="20"/>
        </w:rPr>
      </w:pPr>
      <w:r>
        <w:rPr>
          <w:rFonts w:ascii="Verdana" w:eastAsia="Times New Roman" w:hAnsi="Verdana"/>
          <w:sz w:val="20"/>
          <w:szCs w:val="20"/>
        </w:rPr>
        <w:t>Ensuring optimal utilisation of assets,</w:t>
      </w:r>
    </w:p>
    <w:p w14:paraId="129EFE96" w14:textId="77777777" w:rsidR="0081375E" w:rsidRDefault="0081375E" w:rsidP="0081375E">
      <w:pPr>
        <w:numPr>
          <w:ilvl w:val="0"/>
          <w:numId w:val="2"/>
        </w:numPr>
        <w:spacing w:after="0" w:line="240" w:lineRule="auto"/>
        <w:rPr>
          <w:rFonts w:ascii="Verdana" w:eastAsia="Times New Roman" w:hAnsi="Verdana"/>
          <w:sz w:val="20"/>
          <w:szCs w:val="20"/>
        </w:rPr>
      </w:pPr>
      <w:r>
        <w:rPr>
          <w:rFonts w:ascii="Verdana" w:eastAsia="Times New Roman" w:hAnsi="Verdana"/>
          <w:sz w:val="20"/>
          <w:szCs w:val="20"/>
        </w:rPr>
        <w:t>Strengthening financial controls, and</w:t>
      </w:r>
    </w:p>
    <w:p w14:paraId="78996D85" w14:textId="77777777" w:rsidR="0081375E" w:rsidRDefault="0081375E" w:rsidP="0081375E">
      <w:pPr>
        <w:numPr>
          <w:ilvl w:val="0"/>
          <w:numId w:val="2"/>
        </w:numPr>
        <w:spacing w:after="0" w:line="240" w:lineRule="auto"/>
        <w:rPr>
          <w:rFonts w:ascii="Verdana" w:eastAsia="Times New Roman" w:hAnsi="Verdana"/>
          <w:sz w:val="20"/>
          <w:szCs w:val="20"/>
        </w:rPr>
      </w:pPr>
      <w:r>
        <w:rPr>
          <w:rFonts w:ascii="Verdana" w:eastAsia="Times New Roman" w:hAnsi="Verdana"/>
          <w:sz w:val="20"/>
          <w:szCs w:val="20"/>
        </w:rPr>
        <w:t>Making payments in record time.</w:t>
      </w:r>
    </w:p>
    <w:p w14:paraId="310B8DE4" w14:textId="77777777" w:rsidR="0081375E" w:rsidRDefault="0081375E" w:rsidP="0081375E">
      <w:pPr>
        <w:rPr>
          <w:rFonts w:ascii="Verdana" w:hAnsi="Verdana"/>
          <w:sz w:val="20"/>
          <w:szCs w:val="20"/>
        </w:rPr>
      </w:pPr>
    </w:p>
    <w:p w14:paraId="234F1FFF" w14:textId="77777777" w:rsidR="0081375E" w:rsidRDefault="0081375E" w:rsidP="0081375E">
      <w:pPr>
        <w:rPr>
          <w:rFonts w:ascii="Verdana" w:hAnsi="Verdana"/>
          <w:sz w:val="20"/>
          <w:szCs w:val="20"/>
        </w:rPr>
      </w:pPr>
      <w:r>
        <w:rPr>
          <w:rFonts w:ascii="Verdana" w:hAnsi="Verdana"/>
          <w:sz w:val="20"/>
          <w:szCs w:val="20"/>
        </w:rPr>
        <w:t>Each of these issues directly affects the department’s ability to deliver cultural, recreational, sports and heritage services to the people of Gauteng.</w:t>
      </w:r>
    </w:p>
    <w:p w14:paraId="2D8B4E02" w14:textId="77777777" w:rsidR="0081375E" w:rsidRDefault="0081375E" w:rsidP="0081375E">
      <w:pPr>
        <w:rPr>
          <w:rFonts w:ascii="Verdana" w:hAnsi="Verdana"/>
          <w:sz w:val="20"/>
          <w:szCs w:val="20"/>
        </w:rPr>
      </w:pPr>
    </w:p>
    <w:p w14:paraId="543C6A6F" w14:textId="77777777" w:rsidR="0081375E" w:rsidRDefault="0081375E" w:rsidP="0081375E">
      <w:pPr>
        <w:rPr>
          <w:rFonts w:ascii="Verdana" w:hAnsi="Verdana"/>
          <w:sz w:val="20"/>
          <w:szCs w:val="20"/>
        </w:rPr>
      </w:pPr>
      <w:r>
        <w:rPr>
          <w:rFonts w:ascii="Verdana" w:hAnsi="Verdana"/>
          <w:sz w:val="20"/>
          <w:szCs w:val="20"/>
        </w:rPr>
        <w:t>Speaker, these failures are visible across Gauteng.</w:t>
      </w:r>
    </w:p>
    <w:p w14:paraId="2CCBF7A5" w14:textId="77777777" w:rsidR="0081375E" w:rsidRDefault="0081375E" w:rsidP="0081375E">
      <w:pPr>
        <w:rPr>
          <w:rFonts w:ascii="Verdana" w:hAnsi="Verdana"/>
          <w:sz w:val="20"/>
          <w:szCs w:val="20"/>
        </w:rPr>
      </w:pPr>
      <w:r>
        <w:rPr>
          <w:rFonts w:ascii="Verdana" w:hAnsi="Verdana"/>
          <w:sz w:val="20"/>
          <w:szCs w:val="20"/>
        </w:rPr>
        <w:br/>
        <w:t>At Walter Sisulu Square, a historically significant site, traders, and residents suffer without water, without electricity, with vandalised infrastructure and growing criminal activity. A once vibrant economic hub stands abandoned and decaying because this department has failed to do its job.</w:t>
      </w:r>
    </w:p>
    <w:p w14:paraId="27E84E2F" w14:textId="77777777" w:rsidR="0081375E" w:rsidRDefault="0081375E" w:rsidP="0081375E">
      <w:pPr>
        <w:rPr>
          <w:rFonts w:ascii="Verdana" w:hAnsi="Verdana"/>
          <w:sz w:val="20"/>
          <w:szCs w:val="20"/>
        </w:rPr>
      </w:pPr>
    </w:p>
    <w:p w14:paraId="160C215E" w14:textId="77777777" w:rsidR="0081375E" w:rsidRDefault="0081375E" w:rsidP="0081375E">
      <w:pPr>
        <w:rPr>
          <w:rFonts w:ascii="Verdana" w:hAnsi="Verdana"/>
          <w:sz w:val="20"/>
          <w:szCs w:val="20"/>
        </w:rPr>
      </w:pPr>
      <w:r>
        <w:rPr>
          <w:rFonts w:ascii="Verdana" w:hAnsi="Verdana"/>
          <w:sz w:val="20"/>
          <w:szCs w:val="20"/>
        </w:rPr>
        <w:t xml:space="preserve">In Orange Farm, the multi-million-rand </w:t>
      </w:r>
      <w:proofErr w:type="spellStart"/>
      <w:r>
        <w:rPr>
          <w:rFonts w:ascii="Verdana" w:hAnsi="Verdana"/>
          <w:sz w:val="20"/>
          <w:szCs w:val="20"/>
        </w:rPr>
        <w:t>Driezek</w:t>
      </w:r>
      <w:proofErr w:type="spellEnd"/>
      <w:r>
        <w:rPr>
          <w:rFonts w:ascii="Verdana" w:hAnsi="Verdana"/>
          <w:sz w:val="20"/>
          <w:szCs w:val="20"/>
        </w:rPr>
        <w:t xml:space="preserve"> Library, completed and opened in 2024, till stands locked and unused. Instead of providing learning opportunities and community upliftment, it is gathering dust while taxpayers pay for security and maintenance of a facility that remains inaccessible.</w:t>
      </w:r>
    </w:p>
    <w:p w14:paraId="6A68C0C7" w14:textId="77777777" w:rsidR="0081375E" w:rsidRDefault="0081375E" w:rsidP="0081375E">
      <w:pPr>
        <w:rPr>
          <w:rFonts w:ascii="Verdana" w:hAnsi="Verdana"/>
          <w:sz w:val="20"/>
          <w:szCs w:val="20"/>
        </w:rPr>
      </w:pPr>
    </w:p>
    <w:p w14:paraId="4FB883E2" w14:textId="77777777" w:rsidR="0081375E" w:rsidRDefault="0081375E" w:rsidP="0081375E">
      <w:pPr>
        <w:rPr>
          <w:rFonts w:ascii="Verdana" w:hAnsi="Verdana"/>
          <w:sz w:val="20"/>
          <w:szCs w:val="20"/>
        </w:rPr>
      </w:pPr>
      <w:r>
        <w:rPr>
          <w:rFonts w:ascii="Verdana" w:hAnsi="Verdana"/>
          <w:sz w:val="20"/>
          <w:szCs w:val="20"/>
        </w:rPr>
        <w:t>And while infrastructure collapses, while community facilities rot, and while unemployment rises, the department has spent more than R159 million over eight years on celebratory events. Not on service delivery. Not on athletes. Not on upgrading facilities. But on food, entertainment, and transport for one-day political spectacles.</w:t>
      </w:r>
    </w:p>
    <w:p w14:paraId="74A85D06" w14:textId="77777777" w:rsidR="0081375E" w:rsidRDefault="0081375E" w:rsidP="0081375E">
      <w:pPr>
        <w:rPr>
          <w:rFonts w:ascii="Verdana" w:hAnsi="Verdana"/>
          <w:sz w:val="20"/>
          <w:szCs w:val="20"/>
        </w:rPr>
      </w:pPr>
    </w:p>
    <w:p w14:paraId="7A05ACE8" w14:textId="77777777" w:rsidR="0081375E" w:rsidRDefault="0081375E" w:rsidP="0081375E">
      <w:pPr>
        <w:rPr>
          <w:rFonts w:ascii="Verdana" w:hAnsi="Verdana"/>
          <w:sz w:val="20"/>
          <w:szCs w:val="20"/>
        </w:rPr>
      </w:pPr>
      <w:r>
        <w:rPr>
          <w:rFonts w:ascii="Verdana" w:hAnsi="Verdana"/>
          <w:sz w:val="20"/>
          <w:szCs w:val="20"/>
        </w:rPr>
        <w:t>Even the Gauteng Sports Awards, meant to honour excellence, saw R4.4 million spent on luxury events while athletes received only 16% of the budget.</w:t>
      </w:r>
    </w:p>
    <w:p w14:paraId="46C738B1" w14:textId="77777777" w:rsidR="0081375E" w:rsidRDefault="0081375E" w:rsidP="0081375E">
      <w:pPr>
        <w:rPr>
          <w:rFonts w:ascii="Verdana" w:hAnsi="Verdana"/>
          <w:sz w:val="20"/>
          <w:szCs w:val="20"/>
        </w:rPr>
      </w:pPr>
    </w:p>
    <w:p w14:paraId="63D6B43E" w14:textId="77777777" w:rsidR="0081375E" w:rsidRDefault="0081375E" w:rsidP="0081375E">
      <w:pPr>
        <w:rPr>
          <w:rFonts w:ascii="Verdana" w:hAnsi="Verdana"/>
          <w:sz w:val="20"/>
          <w:szCs w:val="20"/>
        </w:rPr>
      </w:pPr>
      <w:r>
        <w:rPr>
          <w:rFonts w:ascii="Verdana" w:hAnsi="Verdana"/>
          <w:sz w:val="20"/>
          <w:szCs w:val="20"/>
        </w:rPr>
        <w:lastRenderedPageBreak/>
        <w:t>Honourable Speaker, the consequences of Premier Lesufi’s decisions are clear. MEC Chiloane is out of his depth. He has lost control of the department. The audit outcomes have regressed, financial controls have weakened, and service delivery has collapsed.</w:t>
      </w:r>
    </w:p>
    <w:p w14:paraId="3ECD957A" w14:textId="77777777" w:rsidR="0081375E" w:rsidRDefault="0081375E" w:rsidP="0081375E">
      <w:pPr>
        <w:rPr>
          <w:rFonts w:ascii="Verdana" w:hAnsi="Verdana"/>
          <w:sz w:val="20"/>
          <w:szCs w:val="20"/>
        </w:rPr>
      </w:pPr>
    </w:p>
    <w:p w14:paraId="6FEC32D3" w14:textId="77777777" w:rsidR="0081375E" w:rsidRDefault="0081375E" w:rsidP="0081375E">
      <w:pPr>
        <w:rPr>
          <w:rFonts w:ascii="Verdana" w:hAnsi="Verdana"/>
          <w:sz w:val="20"/>
          <w:szCs w:val="20"/>
        </w:rPr>
      </w:pPr>
      <w:r>
        <w:rPr>
          <w:rFonts w:ascii="Verdana" w:hAnsi="Verdana"/>
          <w:sz w:val="20"/>
          <w:szCs w:val="20"/>
        </w:rPr>
        <w:t>The DA calls on Premier Lesufi to urgently appoint a dedicated MEC for the Department of Sport, Arts, Culture and Recreation, someone who will give this portfolio the full-time leadership, focus and accountability it desperately needs.</w:t>
      </w:r>
    </w:p>
    <w:p w14:paraId="5366A9C2" w14:textId="77777777" w:rsidR="0081375E" w:rsidRDefault="0081375E" w:rsidP="0081375E">
      <w:pPr>
        <w:rPr>
          <w:rFonts w:ascii="Verdana" w:hAnsi="Verdana"/>
          <w:sz w:val="20"/>
          <w:szCs w:val="20"/>
        </w:rPr>
      </w:pPr>
    </w:p>
    <w:p w14:paraId="248B60E7" w14:textId="77777777" w:rsidR="0081375E" w:rsidRDefault="0081375E" w:rsidP="0081375E">
      <w:pPr>
        <w:rPr>
          <w:rFonts w:ascii="Verdana" w:hAnsi="Verdana"/>
          <w:b/>
          <w:bCs/>
          <w:sz w:val="20"/>
          <w:szCs w:val="20"/>
        </w:rPr>
      </w:pPr>
      <w:r>
        <w:rPr>
          <w:rFonts w:ascii="Verdana" w:hAnsi="Verdana"/>
          <w:b/>
          <w:bCs/>
          <w:sz w:val="20"/>
          <w:szCs w:val="20"/>
        </w:rPr>
        <w:t xml:space="preserve">Media Enquires </w:t>
      </w:r>
    </w:p>
    <w:p w14:paraId="12114733" w14:textId="77777777" w:rsidR="0081375E" w:rsidRDefault="0081375E" w:rsidP="0081375E">
      <w:pPr>
        <w:rPr>
          <w:rFonts w:ascii="Verdana" w:hAnsi="Verdana"/>
          <w:b/>
          <w:bCs/>
          <w:sz w:val="20"/>
          <w:szCs w:val="20"/>
        </w:rPr>
      </w:pPr>
    </w:p>
    <w:p w14:paraId="3BE53BBB" w14:textId="77777777" w:rsidR="0081375E" w:rsidRDefault="0081375E" w:rsidP="0081375E">
      <w:pPr>
        <w:rPr>
          <w:rFonts w:ascii="Verdana" w:hAnsi="Verdana"/>
          <w:b/>
          <w:bCs/>
          <w:sz w:val="20"/>
          <w:szCs w:val="20"/>
        </w:rPr>
      </w:pPr>
      <w:r>
        <w:rPr>
          <w:rFonts w:ascii="Verdana" w:hAnsi="Verdana"/>
          <w:b/>
          <w:bCs/>
          <w:sz w:val="20"/>
          <w:szCs w:val="20"/>
        </w:rPr>
        <w:t>Kingsol Chabalala MPL</w:t>
      </w:r>
    </w:p>
    <w:p w14:paraId="6431445B" w14:textId="77777777" w:rsidR="0081375E" w:rsidRDefault="0081375E" w:rsidP="0081375E">
      <w:pPr>
        <w:rPr>
          <w:rFonts w:ascii="Verdana" w:hAnsi="Verdana"/>
          <w:sz w:val="20"/>
          <w:szCs w:val="20"/>
        </w:rPr>
      </w:pPr>
      <w:r>
        <w:rPr>
          <w:rFonts w:ascii="Verdana" w:hAnsi="Verdana"/>
          <w:sz w:val="20"/>
          <w:szCs w:val="20"/>
        </w:rPr>
        <w:t>DA Gauteng Shadow MEC for Sports, Arts, Culture and Recreation (SACR)</w:t>
      </w:r>
    </w:p>
    <w:p w14:paraId="51184594" w14:textId="77777777" w:rsidR="0081375E" w:rsidRDefault="0081375E" w:rsidP="0081375E">
      <w:pPr>
        <w:rPr>
          <w:rFonts w:ascii="Verdana" w:hAnsi="Verdana"/>
          <w:sz w:val="20"/>
          <w:szCs w:val="20"/>
        </w:rPr>
      </w:pPr>
      <w:r>
        <w:rPr>
          <w:rFonts w:ascii="Verdana" w:hAnsi="Verdana"/>
          <w:sz w:val="20"/>
          <w:szCs w:val="20"/>
        </w:rPr>
        <w:t>060 558 8299</w:t>
      </w:r>
    </w:p>
    <w:p w14:paraId="2B321589" w14:textId="77777777" w:rsidR="0081375E" w:rsidRDefault="0081375E" w:rsidP="0081375E">
      <w:pPr>
        <w:rPr>
          <w:rFonts w:ascii="Verdana" w:hAnsi="Verdana"/>
          <w:sz w:val="20"/>
          <w:szCs w:val="20"/>
        </w:rPr>
      </w:pPr>
    </w:p>
    <w:p w14:paraId="35B57FB9" w14:textId="77777777" w:rsidR="00A06FC2" w:rsidRDefault="00A06FC2"/>
    <w:sectPr w:rsidR="00A06F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B309D"/>
    <w:multiLevelType w:val="multilevel"/>
    <w:tmpl w:val="84E85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B1632"/>
    <w:multiLevelType w:val="multilevel"/>
    <w:tmpl w:val="4E269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962917"/>
    <w:multiLevelType w:val="hybridMultilevel"/>
    <w:tmpl w:val="0D303C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524171882">
    <w:abstractNumId w:val="1"/>
    <w:lvlOverride w:ilvl="0"/>
    <w:lvlOverride w:ilvl="1"/>
    <w:lvlOverride w:ilvl="2"/>
    <w:lvlOverride w:ilvl="3"/>
    <w:lvlOverride w:ilvl="4"/>
    <w:lvlOverride w:ilvl="5"/>
    <w:lvlOverride w:ilvl="6"/>
    <w:lvlOverride w:ilvl="7"/>
    <w:lvlOverride w:ilvl="8"/>
  </w:num>
  <w:num w:numId="2" w16cid:durableId="1178735079">
    <w:abstractNumId w:val="0"/>
    <w:lvlOverride w:ilvl="0"/>
    <w:lvlOverride w:ilvl="1"/>
    <w:lvlOverride w:ilvl="2"/>
    <w:lvlOverride w:ilvl="3"/>
    <w:lvlOverride w:ilvl="4"/>
    <w:lvlOverride w:ilvl="5"/>
    <w:lvlOverride w:ilvl="6"/>
    <w:lvlOverride w:ilvl="7"/>
    <w:lvlOverride w:ilvl="8"/>
  </w:num>
  <w:num w:numId="3" w16cid:durableId="138471791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C2"/>
    <w:rsid w:val="002F6437"/>
    <w:rsid w:val="0081375E"/>
    <w:rsid w:val="00A06FC2"/>
    <w:rsid w:val="00FD40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D251"/>
  <w15:chartTrackingRefBased/>
  <w15:docId w15:val="{891A1779-5B69-4535-810A-94653D9D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C2"/>
    <w:pPr>
      <w:spacing w:line="252" w:lineRule="auto"/>
    </w:pPr>
    <w:rPr>
      <w:rFonts w:ascii="Aptos" w:hAnsi="Aptos" w:cs="Aptos"/>
      <w:kern w:val="0"/>
      <w:sz w:val="22"/>
      <w:szCs w:val="22"/>
    </w:rPr>
  </w:style>
  <w:style w:type="paragraph" w:styleId="Heading1">
    <w:name w:val="heading 1"/>
    <w:basedOn w:val="Normal"/>
    <w:next w:val="Normal"/>
    <w:link w:val="Heading1Char"/>
    <w:uiPriority w:val="9"/>
    <w:qFormat/>
    <w:rsid w:val="00A06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FC2"/>
    <w:rPr>
      <w:rFonts w:eastAsiaTheme="majorEastAsia" w:cstheme="majorBidi"/>
      <w:color w:val="272727" w:themeColor="text1" w:themeTint="D8"/>
    </w:rPr>
  </w:style>
  <w:style w:type="paragraph" w:styleId="Title">
    <w:name w:val="Title"/>
    <w:basedOn w:val="Normal"/>
    <w:next w:val="Normal"/>
    <w:link w:val="TitleChar"/>
    <w:uiPriority w:val="10"/>
    <w:qFormat/>
    <w:rsid w:val="00A06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FC2"/>
    <w:pPr>
      <w:spacing w:before="160"/>
      <w:jc w:val="center"/>
    </w:pPr>
    <w:rPr>
      <w:i/>
      <w:iCs/>
      <w:color w:val="404040" w:themeColor="text1" w:themeTint="BF"/>
    </w:rPr>
  </w:style>
  <w:style w:type="character" w:customStyle="1" w:styleId="QuoteChar">
    <w:name w:val="Quote Char"/>
    <w:basedOn w:val="DefaultParagraphFont"/>
    <w:link w:val="Quote"/>
    <w:uiPriority w:val="29"/>
    <w:rsid w:val="00A06FC2"/>
    <w:rPr>
      <w:i/>
      <w:iCs/>
      <w:color w:val="404040" w:themeColor="text1" w:themeTint="BF"/>
    </w:rPr>
  </w:style>
  <w:style w:type="paragraph" w:styleId="ListParagraph">
    <w:name w:val="List Paragraph"/>
    <w:basedOn w:val="Normal"/>
    <w:uiPriority w:val="34"/>
    <w:qFormat/>
    <w:rsid w:val="00A06FC2"/>
    <w:pPr>
      <w:ind w:left="720"/>
      <w:contextualSpacing/>
    </w:pPr>
  </w:style>
  <w:style w:type="character" w:styleId="IntenseEmphasis">
    <w:name w:val="Intense Emphasis"/>
    <w:basedOn w:val="DefaultParagraphFont"/>
    <w:uiPriority w:val="21"/>
    <w:qFormat/>
    <w:rsid w:val="00A06FC2"/>
    <w:rPr>
      <w:i/>
      <w:iCs/>
      <w:color w:val="0F4761" w:themeColor="accent1" w:themeShade="BF"/>
    </w:rPr>
  </w:style>
  <w:style w:type="paragraph" w:styleId="IntenseQuote">
    <w:name w:val="Intense Quote"/>
    <w:basedOn w:val="Normal"/>
    <w:next w:val="Normal"/>
    <w:link w:val="IntenseQuoteChar"/>
    <w:uiPriority w:val="30"/>
    <w:qFormat/>
    <w:rsid w:val="00A06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FC2"/>
    <w:rPr>
      <w:i/>
      <w:iCs/>
      <w:color w:val="0F4761" w:themeColor="accent1" w:themeShade="BF"/>
    </w:rPr>
  </w:style>
  <w:style w:type="character" w:styleId="IntenseReference">
    <w:name w:val="Intense Reference"/>
    <w:basedOn w:val="DefaultParagraphFont"/>
    <w:uiPriority w:val="32"/>
    <w:qFormat/>
    <w:rsid w:val="00A06FC2"/>
    <w:rPr>
      <w:b/>
      <w:bCs/>
      <w:smallCaps/>
      <w:color w:val="0F4761" w:themeColor="accent1" w:themeShade="BF"/>
      <w:spacing w:val="5"/>
    </w:rPr>
  </w:style>
  <w:style w:type="paragraph" w:styleId="NormalWeb">
    <w:name w:val="Normal (Web)"/>
    <w:basedOn w:val="Normal"/>
    <w:uiPriority w:val="99"/>
    <w:semiHidden/>
    <w:unhideWhenUsed/>
    <w:rsid w:val="00A06FC2"/>
    <w:pPr>
      <w:spacing w:before="100" w:beforeAutospacing="1" w:after="100" w:afterAutospacing="1" w:line="240" w:lineRule="auto"/>
    </w:pPr>
    <w:rPr>
      <w:sz w:val="24"/>
      <w:szCs w:val="24"/>
      <w:lang w:eastAsia="en-ZA"/>
    </w:rPr>
  </w:style>
  <w:style w:type="character" w:styleId="Strong">
    <w:name w:val="Strong"/>
    <w:basedOn w:val="DefaultParagraphFont"/>
    <w:uiPriority w:val="22"/>
    <w:qFormat/>
    <w:rsid w:val="00A06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1124</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2025-11-26T12:40:00Z</dcterms:created>
  <dcterms:modified xsi:type="dcterms:W3CDTF">2025-11-27T07:26:00Z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2025-11-27T07:26:34Z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81034339-4c49-4a6b-9a2f-1797e450e355</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