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6462" w14:textId="77777777" w:rsidR="00B906D9" w:rsidRDefault="00B906D9" w:rsidP="00B906D9">
      <w:pPr>
        <w:rPr>
          <w:rFonts w:ascii="Verdana" w:hAnsi="Verdana"/>
          <w:sz w:val="20"/>
          <w:szCs w:val="20"/>
        </w:rPr>
      </w:pPr>
      <w:r>
        <w:rPr>
          <w:rFonts w:ascii="Verdana" w:hAnsi="Verdana"/>
          <w:sz w:val="20"/>
          <w:szCs w:val="20"/>
        </w:rPr>
        <w:t>Democratic Alliance speech by</w:t>
      </w:r>
    </w:p>
    <w:p w14:paraId="4D5BF079" w14:textId="77777777" w:rsidR="00B906D9" w:rsidRDefault="00B906D9" w:rsidP="00B906D9">
      <w:pPr>
        <w:rPr>
          <w:rFonts w:ascii="Verdana" w:hAnsi="Verdana"/>
          <w:b/>
          <w:bCs/>
          <w:sz w:val="20"/>
          <w:szCs w:val="20"/>
        </w:rPr>
      </w:pPr>
      <w:r>
        <w:rPr>
          <w:rFonts w:ascii="Verdana" w:hAnsi="Verdana"/>
          <w:b/>
          <w:bCs/>
          <w:sz w:val="20"/>
          <w:szCs w:val="20"/>
        </w:rPr>
        <w:t>Mervyn Cirota MPL</w:t>
      </w:r>
    </w:p>
    <w:p w14:paraId="5B2528F3" w14:textId="77777777" w:rsidR="00B906D9" w:rsidRDefault="00B906D9" w:rsidP="00B906D9">
      <w:pPr>
        <w:rPr>
          <w:rFonts w:ascii="Verdana" w:hAnsi="Verdana"/>
          <w:sz w:val="20"/>
          <w:szCs w:val="20"/>
        </w:rPr>
      </w:pPr>
      <w:r>
        <w:rPr>
          <w:rFonts w:ascii="Verdana" w:hAnsi="Verdana"/>
          <w:sz w:val="20"/>
          <w:szCs w:val="20"/>
        </w:rPr>
        <w:t>DA Gauteng Shadow MEC for Human Settlements</w:t>
      </w:r>
    </w:p>
    <w:p w14:paraId="3BA0C7B2" w14:textId="77777777" w:rsidR="00B906D9" w:rsidRDefault="00B906D9" w:rsidP="00B906D9">
      <w:pPr>
        <w:rPr>
          <w:rFonts w:ascii="Verdana" w:hAnsi="Verdana"/>
          <w:b/>
          <w:bCs/>
          <w:sz w:val="20"/>
          <w:szCs w:val="20"/>
        </w:rPr>
      </w:pPr>
    </w:p>
    <w:p w14:paraId="2219D434" w14:textId="77777777" w:rsidR="00B906D9" w:rsidRDefault="00B906D9" w:rsidP="00B906D9">
      <w:pPr>
        <w:rPr>
          <w:rFonts w:ascii="Georgia" w:hAnsi="Georgia"/>
          <w:sz w:val="44"/>
          <w:szCs w:val="44"/>
          <w:lang w:val="en-US"/>
        </w:rPr>
      </w:pPr>
      <w:r>
        <w:rPr>
          <w:rFonts w:ascii="Georgia" w:hAnsi="Georgia"/>
          <w:sz w:val="44"/>
          <w:szCs w:val="44"/>
          <w:lang w:val="en-US"/>
        </w:rPr>
        <w:t xml:space="preserve">MEC Motara must focus on building houses not passing the buck </w:t>
      </w:r>
    </w:p>
    <w:p w14:paraId="53EE8EE1" w14:textId="77777777" w:rsidR="00B906D9" w:rsidRDefault="00B906D9" w:rsidP="00B906D9">
      <w:pPr>
        <w:rPr>
          <w:rFonts w:ascii="Verdana" w:hAnsi="Verdana"/>
          <w:sz w:val="20"/>
          <w:szCs w:val="20"/>
          <w:lang w:val="en-US"/>
        </w:rPr>
      </w:pPr>
    </w:p>
    <w:p w14:paraId="01EC2C3A" w14:textId="77777777" w:rsidR="00B906D9" w:rsidRDefault="00B906D9" w:rsidP="00B906D9">
      <w:pPr>
        <w:rPr>
          <w:rFonts w:ascii="Verdana" w:hAnsi="Verdana"/>
          <w:sz w:val="20"/>
          <w:szCs w:val="20"/>
          <w:lang w:val="en-US"/>
        </w:rPr>
      </w:pPr>
    </w:p>
    <w:p w14:paraId="5C69626B" w14:textId="77777777" w:rsidR="00B906D9" w:rsidRDefault="00B906D9" w:rsidP="00B906D9">
      <w:pPr>
        <w:rPr>
          <w:rFonts w:ascii="Verdana" w:hAnsi="Verdana"/>
          <w:sz w:val="20"/>
          <w:szCs w:val="20"/>
          <w:lang w:val="en-US"/>
        </w:rPr>
      </w:pPr>
      <w:r>
        <w:rPr>
          <w:rFonts w:ascii="Verdana" w:hAnsi="Verdana"/>
          <w:sz w:val="20"/>
          <w:szCs w:val="20"/>
          <w:lang w:val="en-US"/>
        </w:rPr>
        <w:t>2 December 2025</w:t>
      </w:r>
    </w:p>
    <w:p w14:paraId="51F1894D" w14:textId="77777777" w:rsidR="00B906D9" w:rsidRDefault="00B906D9" w:rsidP="00B906D9">
      <w:pPr>
        <w:rPr>
          <w:rFonts w:ascii="Verdana" w:hAnsi="Verdana"/>
          <w:sz w:val="20"/>
          <w:szCs w:val="20"/>
          <w:lang w:val="en-US"/>
        </w:rPr>
      </w:pPr>
      <w:r>
        <w:rPr>
          <w:rFonts w:ascii="Verdana" w:hAnsi="Verdana"/>
          <w:sz w:val="20"/>
          <w:szCs w:val="20"/>
          <w:lang w:val="en-US"/>
        </w:rPr>
        <w:t>Release: immediate</w:t>
      </w:r>
    </w:p>
    <w:p w14:paraId="3A2D2511" w14:textId="77777777" w:rsidR="00B906D9" w:rsidRDefault="00B906D9" w:rsidP="00B906D9">
      <w:pPr>
        <w:rPr>
          <w:rFonts w:ascii="Verdana" w:hAnsi="Verdana"/>
          <w:sz w:val="20"/>
          <w:szCs w:val="20"/>
          <w:lang w:val="en-US"/>
        </w:rPr>
      </w:pPr>
    </w:p>
    <w:p w14:paraId="70F3CBB3" w14:textId="77777777" w:rsidR="00B906D9" w:rsidRDefault="00B906D9" w:rsidP="00B906D9">
      <w:pPr>
        <w:rPr>
          <w:rFonts w:ascii="Verdana" w:hAnsi="Verdana"/>
          <w:sz w:val="20"/>
          <w:szCs w:val="20"/>
          <w:lang w:val="en-US"/>
        </w:rPr>
      </w:pPr>
      <w:r>
        <w:rPr>
          <w:rFonts w:ascii="Verdana" w:hAnsi="Verdana"/>
          <w:sz w:val="20"/>
          <w:szCs w:val="20"/>
          <w:lang w:val="en-US"/>
        </w:rPr>
        <w:t>Thank You Madame Speaker</w:t>
      </w:r>
    </w:p>
    <w:p w14:paraId="53DA79A7" w14:textId="77777777" w:rsidR="00B906D9" w:rsidRDefault="00B906D9" w:rsidP="00B906D9">
      <w:pPr>
        <w:rPr>
          <w:rFonts w:ascii="Verdana" w:hAnsi="Verdana"/>
          <w:sz w:val="20"/>
          <w:szCs w:val="20"/>
          <w:lang w:val="en-US"/>
        </w:rPr>
      </w:pPr>
    </w:p>
    <w:p w14:paraId="7F79DD98" w14:textId="77777777" w:rsidR="00B906D9" w:rsidRDefault="00B906D9" w:rsidP="00B906D9">
      <w:pPr>
        <w:rPr>
          <w:rFonts w:ascii="Verdana" w:hAnsi="Verdana"/>
          <w:sz w:val="20"/>
          <w:szCs w:val="20"/>
          <w:lang w:val="en-US"/>
        </w:rPr>
      </w:pPr>
      <w:r>
        <w:rPr>
          <w:rFonts w:ascii="Verdana" w:hAnsi="Verdana"/>
          <w:sz w:val="20"/>
          <w:szCs w:val="20"/>
          <w:lang w:val="en-US"/>
        </w:rPr>
        <w:t xml:space="preserve">To assess the performance of the Department of Human Settlements fairly and comprehensively for this year, a comparison of where the department found itself a year ago and its </w:t>
      </w:r>
      <w:proofErr w:type="gramStart"/>
      <w:r>
        <w:rPr>
          <w:rFonts w:ascii="Verdana" w:hAnsi="Verdana"/>
          <w:sz w:val="20"/>
          <w:szCs w:val="20"/>
          <w:lang w:val="en-US"/>
        </w:rPr>
        <w:t>current status</w:t>
      </w:r>
      <w:proofErr w:type="gramEnd"/>
      <w:r>
        <w:rPr>
          <w:rFonts w:ascii="Verdana" w:hAnsi="Verdana"/>
          <w:sz w:val="20"/>
          <w:szCs w:val="20"/>
          <w:lang w:val="en-US"/>
        </w:rPr>
        <w:t xml:space="preserve"> and delivery of its programmes is necessary.</w:t>
      </w:r>
    </w:p>
    <w:p w14:paraId="01371FEF" w14:textId="77777777" w:rsidR="00B906D9" w:rsidRDefault="00B906D9" w:rsidP="00B906D9">
      <w:pPr>
        <w:rPr>
          <w:rFonts w:ascii="Verdana" w:hAnsi="Verdana"/>
          <w:sz w:val="20"/>
          <w:szCs w:val="20"/>
          <w:lang w:val="en-US"/>
        </w:rPr>
      </w:pPr>
    </w:p>
    <w:p w14:paraId="3AD0D649" w14:textId="77777777" w:rsidR="00B906D9" w:rsidRDefault="00B906D9" w:rsidP="00B906D9">
      <w:pPr>
        <w:rPr>
          <w:rFonts w:ascii="Verdana" w:hAnsi="Verdana"/>
          <w:sz w:val="20"/>
          <w:szCs w:val="20"/>
          <w:lang w:val="en-US"/>
        </w:rPr>
      </w:pPr>
      <w:r>
        <w:rPr>
          <w:rFonts w:ascii="Verdana" w:hAnsi="Verdana"/>
          <w:sz w:val="20"/>
          <w:szCs w:val="20"/>
          <w:lang w:val="en-US"/>
        </w:rPr>
        <w:t>It is also important to acknowledge that the entrenched failures, lack of accountability and incompetence within the department did not commence within this financial year. The systemic under-performance, that is endemic in the department, is years in the making. It is further aggravated by poor leadership within the department - both at political and operational level, with no accountability or effective consequence management in place.</w:t>
      </w:r>
    </w:p>
    <w:p w14:paraId="78B98CC7" w14:textId="77777777" w:rsidR="00B906D9" w:rsidRDefault="00B906D9" w:rsidP="00B906D9">
      <w:pPr>
        <w:rPr>
          <w:rFonts w:ascii="Verdana" w:hAnsi="Verdana"/>
          <w:sz w:val="20"/>
          <w:szCs w:val="20"/>
          <w:lang w:val="en-US"/>
        </w:rPr>
      </w:pPr>
    </w:p>
    <w:p w14:paraId="015AA6EF" w14:textId="77777777" w:rsidR="00B906D9" w:rsidRDefault="00B906D9" w:rsidP="00B906D9">
      <w:pPr>
        <w:rPr>
          <w:rFonts w:ascii="Verdana" w:hAnsi="Verdana"/>
          <w:sz w:val="20"/>
          <w:szCs w:val="20"/>
          <w:lang w:val="en-US"/>
        </w:rPr>
      </w:pPr>
      <w:r>
        <w:rPr>
          <w:rFonts w:ascii="Verdana" w:hAnsi="Verdana"/>
          <w:sz w:val="20"/>
          <w:szCs w:val="20"/>
          <w:lang w:val="en-US"/>
        </w:rPr>
        <w:t xml:space="preserve">MEC Motara’s department currently finds itself failing to achieve effective </w:t>
      </w:r>
      <w:proofErr w:type="gramStart"/>
      <w:r>
        <w:rPr>
          <w:rFonts w:ascii="Verdana" w:hAnsi="Verdana"/>
          <w:sz w:val="20"/>
          <w:szCs w:val="20"/>
          <w:lang w:val="en-US"/>
        </w:rPr>
        <w:t>outcomes</w:t>
      </w:r>
      <w:proofErr w:type="gramEnd"/>
      <w:r>
        <w:rPr>
          <w:rFonts w:ascii="Verdana" w:hAnsi="Verdana"/>
          <w:sz w:val="20"/>
          <w:szCs w:val="20"/>
          <w:lang w:val="en-US"/>
        </w:rPr>
        <w:t xml:space="preserve"> in any of its programmes. The MEC appears to be transferring culpability either onto the various local authorities and /or onto the National treasury for its inability to achieve any of its intended targets. It could be fair to say that the lack of meaningful progress in delivery of housing and housing opportunities has become the norm.</w:t>
      </w:r>
    </w:p>
    <w:p w14:paraId="0DC2BD06" w14:textId="77777777" w:rsidR="00B906D9" w:rsidRDefault="00B906D9" w:rsidP="00B906D9">
      <w:pPr>
        <w:rPr>
          <w:rFonts w:ascii="Verdana" w:hAnsi="Verdana"/>
          <w:sz w:val="20"/>
          <w:szCs w:val="20"/>
          <w:lang w:val="en-US"/>
        </w:rPr>
      </w:pPr>
    </w:p>
    <w:p w14:paraId="02DA4A61" w14:textId="77777777" w:rsidR="00B906D9" w:rsidRDefault="00B906D9" w:rsidP="00B906D9">
      <w:pPr>
        <w:rPr>
          <w:rFonts w:ascii="Verdana" w:hAnsi="Verdana"/>
          <w:sz w:val="20"/>
          <w:szCs w:val="20"/>
          <w:lang w:val="en-US"/>
        </w:rPr>
      </w:pPr>
      <w:r>
        <w:rPr>
          <w:rFonts w:ascii="Verdana" w:hAnsi="Verdana"/>
          <w:sz w:val="20"/>
          <w:szCs w:val="20"/>
          <w:lang w:val="en-US"/>
        </w:rPr>
        <w:t xml:space="preserve">During the second budget adjustment, the 2024/25 adjusted budget of the Gauteng Department of Human Settlements decreased by R450 million from R6,092 billion to R5,642 billion. </w:t>
      </w:r>
    </w:p>
    <w:p w14:paraId="0B6416E3" w14:textId="77777777" w:rsidR="00B906D9" w:rsidRDefault="00B906D9" w:rsidP="00B906D9">
      <w:pPr>
        <w:rPr>
          <w:rFonts w:ascii="Verdana" w:hAnsi="Verdana"/>
          <w:b/>
          <w:bCs/>
          <w:sz w:val="20"/>
          <w:szCs w:val="20"/>
          <w:lang w:val="en-US"/>
        </w:rPr>
      </w:pPr>
    </w:p>
    <w:p w14:paraId="19CEC1AC" w14:textId="77777777" w:rsidR="00B906D9" w:rsidRDefault="00B906D9" w:rsidP="00B906D9">
      <w:pPr>
        <w:rPr>
          <w:rFonts w:ascii="Verdana" w:hAnsi="Verdana"/>
          <w:sz w:val="20"/>
          <w:szCs w:val="20"/>
          <w:lang w:val="en-US"/>
        </w:rPr>
      </w:pPr>
      <w:r>
        <w:rPr>
          <w:rFonts w:ascii="Verdana" w:hAnsi="Verdana"/>
          <w:sz w:val="20"/>
          <w:szCs w:val="20"/>
          <w:lang w:val="en-US"/>
        </w:rPr>
        <w:t>This downward revision is due to the decisions taken by the National Department of Human Settlements to reduce the Human Settlements Development Grant (HSDG) allocation to the Gauteng Province by R300 million and to reduce the Informal Settlements Upgrading Partnership Grant (ISUPG) allocation to the Gauteng Province by R150 million, because of unsatisfactory performance.</w:t>
      </w:r>
    </w:p>
    <w:p w14:paraId="2BE8A2FA" w14:textId="77777777" w:rsidR="00B906D9" w:rsidRDefault="00B906D9" w:rsidP="00B906D9">
      <w:pPr>
        <w:rPr>
          <w:rFonts w:ascii="Verdana" w:hAnsi="Verdana"/>
          <w:sz w:val="20"/>
          <w:szCs w:val="20"/>
          <w:lang w:val="en-US"/>
        </w:rPr>
      </w:pPr>
    </w:p>
    <w:p w14:paraId="16C12C50" w14:textId="77777777" w:rsidR="00B906D9" w:rsidRDefault="00B906D9" w:rsidP="00B906D9">
      <w:pPr>
        <w:rPr>
          <w:rFonts w:ascii="Verdana" w:hAnsi="Verdana"/>
          <w:sz w:val="20"/>
          <w:szCs w:val="20"/>
          <w:lang w:val="en-US"/>
        </w:rPr>
      </w:pPr>
      <w:r>
        <w:rPr>
          <w:rFonts w:ascii="Verdana" w:hAnsi="Verdana"/>
          <w:sz w:val="20"/>
          <w:szCs w:val="20"/>
          <w:lang w:val="en-US"/>
        </w:rPr>
        <w:t xml:space="preserve">This downward revision has become a regular intervention by the National Treasury. Despite this issue being raised repetitively within committee with the Department, this </w:t>
      </w:r>
      <w:proofErr w:type="gramStart"/>
      <w:r>
        <w:rPr>
          <w:rFonts w:ascii="Verdana" w:hAnsi="Verdana"/>
          <w:sz w:val="20"/>
          <w:szCs w:val="20"/>
          <w:lang w:val="en-US"/>
        </w:rPr>
        <w:t>under-achievement</w:t>
      </w:r>
      <w:proofErr w:type="gramEnd"/>
      <w:r>
        <w:rPr>
          <w:rFonts w:ascii="Verdana" w:hAnsi="Verdana"/>
          <w:sz w:val="20"/>
          <w:szCs w:val="20"/>
          <w:lang w:val="en-US"/>
        </w:rPr>
        <w:t xml:space="preserve"> continues to embarrass the Department and reflects negatively on its ability to achieve its outcomes. More troubling is the </w:t>
      </w:r>
      <w:proofErr w:type="gramStart"/>
      <w:r>
        <w:rPr>
          <w:rFonts w:ascii="Verdana" w:hAnsi="Verdana"/>
          <w:sz w:val="20"/>
          <w:szCs w:val="20"/>
          <w:lang w:val="en-US"/>
        </w:rPr>
        <w:t>departments</w:t>
      </w:r>
      <w:proofErr w:type="gramEnd"/>
      <w:r>
        <w:rPr>
          <w:rFonts w:ascii="Verdana" w:hAnsi="Verdana"/>
          <w:sz w:val="20"/>
          <w:szCs w:val="20"/>
          <w:lang w:val="en-US"/>
        </w:rPr>
        <w:t xml:space="preserve"> failure to improve its performance to prevent this intervention.</w:t>
      </w:r>
    </w:p>
    <w:p w14:paraId="0BCDA43A" w14:textId="77777777" w:rsidR="00B906D9" w:rsidRDefault="00B906D9" w:rsidP="00B906D9">
      <w:pPr>
        <w:rPr>
          <w:rFonts w:ascii="Verdana" w:hAnsi="Verdana"/>
          <w:sz w:val="20"/>
          <w:szCs w:val="20"/>
          <w:lang w:val="en-US"/>
        </w:rPr>
      </w:pPr>
    </w:p>
    <w:p w14:paraId="6B21EA28" w14:textId="77777777" w:rsidR="00B906D9" w:rsidRDefault="00B906D9" w:rsidP="00B906D9">
      <w:pPr>
        <w:rPr>
          <w:rFonts w:ascii="Verdana" w:hAnsi="Verdana"/>
          <w:sz w:val="20"/>
          <w:szCs w:val="20"/>
          <w:lang w:val="en-US"/>
        </w:rPr>
      </w:pPr>
      <w:r>
        <w:rPr>
          <w:rFonts w:ascii="Verdana" w:hAnsi="Verdana"/>
          <w:sz w:val="20"/>
          <w:szCs w:val="20"/>
          <w:lang w:val="en-US"/>
        </w:rPr>
        <w:t>The department is further restricted by several factors including the ever-increasing demand for housing in Gauteng due to immigration and the formation of new households, the high cost of well-located land suitable for housing development; and the increasing number of informal settlements.</w:t>
      </w:r>
    </w:p>
    <w:p w14:paraId="0F20FD5D" w14:textId="77777777" w:rsidR="00B906D9" w:rsidRDefault="00B906D9" w:rsidP="00B906D9">
      <w:pPr>
        <w:rPr>
          <w:rFonts w:ascii="Verdana" w:hAnsi="Verdana"/>
          <w:sz w:val="20"/>
          <w:szCs w:val="20"/>
          <w:lang w:val="en-US"/>
        </w:rPr>
      </w:pPr>
    </w:p>
    <w:p w14:paraId="7FA4A3EF" w14:textId="77777777" w:rsidR="00B906D9" w:rsidRDefault="00B906D9" w:rsidP="00B906D9">
      <w:pPr>
        <w:rPr>
          <w:rFonts w:ascii="Verdana" w:hAnsi="Verdana"/>
          <w:sz w:val="20"/>
          <w:szCs w:val="20"/>
          <w:lang w:val="en-US"/>
        </w:rPr>
      </w:pPr>
      <w:r>
        <w:rPr>
          <w:rFonts w:ascii="Verdana" w:hAnsi="Verdana"/>
          <w:sz w:val="20"/>
          <w:szCs w:val="20"/>
          <w:lang w:val="en-US"/>
        </w:rPr>
        <w:t>The department under MEC Motara has overseen</w:t>
      </w:r>
    </w:p>
    <w:p w14:paraId="6A320F24" w14:textId="77777777" w:rsidR="00B906D9" w:rsidRDefault="00B906D9" w:rsidP="00B906D9">
      <w:pPr>
        <w:rPr>
          <w:rFonts w:ascii="Verdana" w:hAnsi="Verdana"/>
          <w:sz w:val="20"/>
          <w:szCs w:val="20"/>
          <w:lang w:val="en-US"/>
        </w:rPr>
      </w:pPr>
    </w:p>
    <w:p w14:paraId="1D7BDA15"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The failure of providing housing and housing opportunities through the Rapid Land Release programme</w:t>
      </w:r>
    </w:p>
    <w:p w14:paraId="336A10BA"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lastRenderedPageBreak/>
        <w:t xml:space="preserve">The inability to effectively utilise grants provided for the informal Settlement upgrade and formalisation programme, </w:t>
      </w:r>
    </w:p>
    <w:p w14:paraId="071072C9"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the inability to maintain the six hostels under the Hostel Redevelopment Plan and make provision for the remaining sixty in the province,</w:t>
      </w:r>
    </w:p>
    <w:p w14:paraId="1D1039E0"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the slow release of title deeds,</w:t>
      </w:r>
    </w:p>
    <w:p w14:paraId="12890A57"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 xml:space="preserve">the failure to accelerate completion of outstanding Mega Projects, </w:t>
      </w:r>
    </w:p>
    <w:p w14:paraId="2E5E556B"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an underperforming Gauteng Partnership Fund,</w:t>
      </w:r>
    </w:p>
    <w:p w14:paraId="73FFAAFB"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 xml:space="preserve">an ineffective Township Renewal programme, </w:t>
      </w:r>
    </w:p>
    <w:p w14:paraId="324F5978"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the inability to reach targets set in the Annual Performance Plan (APP), notwithstanding the introduction of a turnaround strategy aggravated due to incompetence,</w:t>
      </w:r>
    </w:p>
    <w:p w14:paraId="292814DB" w14:textId="77777777" w:rsidR="00B906D9" w:rsidRDefault="00B906D9" w:rsidP="00B906D9">
      <w:pPr>
        <w:pStyle w:val="ListParagraph"/>
        <w:numPr>
          <w:ilvl w:val="0"/>
          <w:numId w:val="1"/>
        </w:numPr>
        <w:rPr>
          <w:rFonts w:ascii="Verdana" w:eastAsia="Times New Roman" w:hAnsi="Verdana"/>
          <w:sz w:val="20"/>
          <w:szCs w:val="20"/>
          <w:lang w:val="en-US"/>
        </w:rPr>
      </w:pPr>
      <w:r>
        <w:rPr>
          <w:rFonts w:ascii="Verdana" w:eastAsia="Times New Roman" w:hAnsi="Verdana"/>
          <w:sz w:val="20"/>
          <w:szCs w:val="20"/>
          <w:lang w:val="en-US"/>
        </w:rPr>
        <w:t>a lack of managerial skill and accountability as well as the low number of PPP initiatives, that all prevent the department from achieving its basic goals.</w:t>
      </w:r>
    </w:p>
    <w:p w14:paraId="01B4DB3F" w14:textId="77777777" w:rsidR="00B906D9" w:rsidRDefault="00B906D9" w:rsidP="00B906D9">
      <w:pPr>
        <w:rPr>
          <w:rFonts w:ascii="Verdana" w:hAnsi="Verdana"/>
          <w:sz w:val="20"/>
          <w:szCs w:val="20"/>
          <w:lang w:val="en-US"/>
        </w:rPr>
      </w:pPr>
    </w:p>
    <w:p w14:paraId="124BB085" w14:textId="77777777" w:rsidR="00B906D9" w:rsidRDefault="00B906D9" w:rsidP="00B906D9">
      <w:pPr>
        <w:rPr>
          <w:rFonts w:ascii="Verdana" w:hAnsi="Verdana"/>
          <w:sz w:val="20"/>
          <w:szCs w:val="20"/>
          <w:lang w:val="en-US"/>
        </w:rPr>
      </w:pPr>
      <w:r>
        <w:rPr>
          <w:rFonts w:ascii="Verdana" w:hAnsi="Verdana"/>
          <w:sz w:val="20"/>
          <w:szCs w:val="20"/>
          <w:lang w:val="en-US"/>
        </w:rPr>
        <w:t xml:space="preserve">These are all aggravated by non-existent or inadequate land invasion prevention strategies. </w:t>
      </w:r>
    </w:p>
    <w:p w14:paraId="7CBF8D5F" w14:textId="77777777" w:rsidR="00B906D9" w:rsidRDefault="00B906D9" w:rsidP="00B906D9">
      <w:pPr>
        <w:rPr>
          <w:rFonts w:ascii="Verdana" w:hAnsi="Verdana"/>
          <w:sz w:val="20"/>
          <w:szCs w:val="20"/>
          <w:lang w:val="en-US"/>
        </w:rPr>
      </w:pPr>
    </w:p>
    <w:p w14:paraId="5B9F690D" w14:textId="77777777" w:rsidR="00B906D9" w:rsidRDefault="00B906D9" w:rsidP="00B906D9">
      <w:pPr>
        <w:rPr>
          <w:rFonts w:ascii="Verdana" w:hAnsi="Verdana"/>
          <w:sz w:val="20"/>
          <w:szCs w:val="20"/>
          <w:lang w:val="en-US"/>
        </w:rPr>
      </w:pPr>
      <w:r>
        <w:rPr>
          <w:rFonts w:ascii="Verdana" w:hAnsi="Verdana"/>
          <w:sz w:val="20"/>
          <w:szCs w:val="20"/>
          <w:lang w:val="en-US"/>
        </w:rPr>
        <w:t xml:space="preserve">MEC Motara has on more than one occasion admitted that the goals and vision of the department cannot be achieved. Instead of </w:t>
      </w:r>
      <w:proofErr w:type="gramStart"/>
      <w:r>
        <w:rPr>
          <w:rFonts w:ascii="Verdana" w:hAnsi="Verdana"/>
          <w:sz w:val="20"/>
          <w:szCs w:val="20"/>
          <w:lang w:val="en-US"/>
        </w:rPr>
        <w:t>providing</w:t>
      </w:r>
      <w:proofErr w:type="gramEnd"/>
      <w:r>
        <w:rPr>
          <w:rFonts w:ascii="Verdana" w:hAnsi="Verdana"/>
          <w:sz w:val="20"/>
          <w:szCs w:val="20"/>
          <w:lang w:val="en-US"/>
        </w:rPr>
        <w:t xml:space="preserve"> a way forward she and the department have taken a defensive position with no clear turnaround proposal.</w:t>
      </w:r>
    </w:p>
    <w:p w14:paraId="0D8DF529" w14:textId="77777777" w:rsidR="00B906D9" w:rsidRDefault="00B906D9" w:rsidP="00B906D9">
      <w:pPr>
        <w:rPr>
          <w:rFonts w:ascii="Verdana" w:hAnsi="Verdana"/>
          <w:sz w:val="20"/>
          <w:szCs w:val="20"/>
          <w:lang w:val="en-US"/>
        </w:rPr>
      </w:pPr>
    </w:p>
    <w:p w14:paraId="1A02ECC8" w14:textId="77777777" w:rsidR="00B906D9" w:rsidRDefault="00B906D9" w:rsidP="00B906D9">
      <w:pPr>
        <w:rPr>
          <w:rFonts w:ascii="Verdana" w:hAnsi="Verdana"/>
          <w:sz w:val="20"/>
          <w:szCs w:val="20"/>
          <w:lang w:val="en-US"/>
        </w:rPr>
      </w:pPr>
      <w:r>
        <w:rPr>
          <w:rFonts w:ascii="Verdana" w:hAnsi="Verdana"/>
          <w:sz w:val="20"/>
          <w:szCs w:val="20"/>
          <w:lang w:val="en-US"/>
        </w:rPr>
        <w:t>The department continues to disappoint and underperform.</w:t>
      </w:r>
    </w:p>
    <w:p w14:paraId="7D4261AF" w14:textId="77777777" w:rsidR="00B906D9" w:rsidRDefault="00B906D9" w:rsidP="00B906D9">
      <w:pPr>
        <w:rPr>
          <w:rFonts w:ascii="Verdana" w:hAnsi="Verdana"/>
          <w:sz w:val="20"/>
          <w:szCs w:val="20"/>
          <w:lang w:val="en-US"/>
        </w:rPr>
      </w:pPr>
    </w:p>
    <w:p w14:paraId="76AA7D24" w14:textId="77777777" w:rsidR="00B906D9" w:rsidRDefault="00B906D9" w:rsidP="00B906D9">
      <w:pPr>
        <w:rPr>
          <w:rFonts w:ascii="Verdana" w:hAnsi="Verdana"/>
          <w:sz w:val="20"/>
          <w:szCs w:val="20"/>
          <w:lang w:val="en-US"/>
        </w:rPr>
      </w:pPr>
      <w:r>
        <w:rPr>
          <w:rFonts w:ascii="Verdana" w:hAnsi="Verdana"/>
          <w:sz w:val="20"/>
          <w:szCs w:val="20"/>
          <w:lang w:val="en-US"/>
        </w:rPr>
        <w:t>Until there is effective political and operational accountability, effective planning and consequence management, the department’s performance will not improve.</w:t>
      </w:r>
    </w:p>
    <w:p w14:paraId="058FD6FA" w14:textId="77777777" w:rsidR="00B906D9" w:rsidRDefault="00B906D9" w:rsidP="00B906D9">
      <w:pPr>
        <w:rPr>
          <w:lang w:val="en-US"/>
        </w:rPr>
      </w:pPr>
    </w:p>
    <w:p w14:paraId="7A36E2E6" w14:textId="77777777" w:rsidR="00B906D9" w:rsidRDefault="00B906D9" w:rsidP="00B906D9"/>
    <w:p w14:paraId="26AB8698" w14:textId="77777777" w:rsidR="00B906D9" w:rsidRDefault="00B906D9" w:rsidP="00B906D9">
      <w:pPr>
        <w:rPr>
          <w:rFonts w:ascii="Verdana" w:hAnsi="Verdana"/>
          <w:b/>
          <w:bCs/>
          <w:sz w:val="20"/>
          <w:szCs w:val="20"/>
        </w:rPr>
      </w:pPr>
      <w:r>
        <w:rPr>
          <w:rFonts w:ascii="Verdana" w:hAnsi="Verdana"/>
          <w:b/>
          <w:bCs/>
          <w:sz w:val="20"/>
          <w:szCs w:val="20"/>
        </w:rPr>
        <w:t xml:space="preserve">Media Enquiries </w:t>
      </w:r>
    </w:p>
    <w:p w14:paraId="1D574492" w14:textId="77777777" w:rsidR="00B906D9" w:rsidRDefault="00B906D9" w:rsidP="00B906D9">
      <w:pPr>
        <w:rPr>
          <w:rFonts w:ascii="Verdana" w:hAnsi="Verdana"/>
          <w:sz w:val="20"/>
          <w:szCs w:val="20"/>
        </w:rPr>
      </w:pPr>
    </w:p>
    <w:p w14:paraId="37EE563A" w14:textId="77777777" w:rsidR="00B906D9" w:rsidRDefault="00B906D9" w:rsidP="00B906D9">
      <w:pPr>
        <w:rPr>
          <w:rFonts w:ascii="Verdana" w:hAnsi="Verdana"/>
          <w:b/>
          <w:bCs/>
          <w:sz w:val="20"/>
          <w:szCs w:val="20"/>
        </w:rPr>
      </w:pPr>
      <w:r>
        <w:rPr>
          <w:rFonts w:ascii="Verdana" w:hAnsi="Verdana"/>
          <w:b/>
          <w:bCs/>
          <w:sz w:val="20"/>
          <w:szCs w:val="20"/>
        </w:rPr>
        <w:t>Mervyn Cirota MPL</w:t>
      </w:r>
    </w:p>
    <w:p w14:paraId="4D6EC9F5" w14:textId="77777777" w:rsidR="00B906D9" w:rsidRDefault="00B906D9" w:rsidP="00B906D9">
      <w:pPr>
        <w:rPr>
          <w:rFonts w:ascii="Verdana" w:hAnsi="Verdana"/>
          <w:sz w:val="20"/>
          <w:szCs w:val="20"/>
        </w:rPr>
      </w:pPr>
      <w:r>
        <w:rPr>
          <w:rFonts w:ascii="Verdana" w:hAnsi="Verdana"/>
          <w:sz w:val="20"/>
          <w:szCs w:val="20"/>
        </w:rPr>
        <w:t>DA Gauteng Shadow MEC for Human Settlements</w:t>
      </w:r>
    </w:p>
    <w:p w14:paraId="2E46A282" w14:textId="77777777" w:rsidR="00B906D9" w:rsidRDefault="00B906D9" w:rsidP="00B906D9">
      <w:pPr>
        <w:rPr>
          <w:rFonts w:ascii="Verdana" w:hAnsi="Verdana"/>
          <w:sz w:val="20"/>
          <w:szCs w:val="20"/>
        </w:rPr>
      </w:pPr>
      <w:r>
        <w:rPr>
          <w:rFonts w:ascii="Verdana" w:hAnsi="Verdana"/>
          <w:sz w:val="20"/>
          <w:szCs w:val="20"/>
        </w:rPr>
        <w:t>060 558 8312</w:t>
      </w:r>
    </w:p>
    <w:p w14:paraId="6A4B2A49" w14:textId="77777777" w:rsidR="00B906D9" w:rsidRDefault="00B906D9"/>
    <w:sectPr w:rsidR="00B90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326CC"/>
    <w:multiLevelType w:val="hybridMultilevel"/>
    <w:tmpl w:val="40DEE5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5505319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D9"/>
    <w:rsid w:val="00B906D9"/>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97D"/>
  <w15:chartTrackingRefBased/>
  <w15:docId w15:val="{5EBB121D-CC6D-4848-AFCB-E09C8D47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D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90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6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D9"/>
    <w:rPr>
      <w:rFonts w:eastAsiaTheme="majorEastAsia" w:cstheme="majorBidi"/>
      <w:color w:val="272727" w:themeColor="text1" w:themeTint="D8"/>
    </w:rPr>
  </w:style>
  <w:style w:type="paragraph" w:styleId="Title">
    <w:name w:val="Title"/>
    <w:basedOn w:val="Normal"/>
    <w:next w:val="Normal"/>
    <w:link w:val="TitleChar"/>
    <w:uiPriority w:val="10"/>
    <w:qFormat/>
    <w:rsid w:val="00B906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D9"/>
    <w:pPr>
      <w:spacing w:before="160"/>
      <w:jc w:val="center"/>
    </w:pPr>
    <w:rPr>
      <w:i/>
      <w:iCs/>
      <w:color w:val="404040" w:themeColor="text1" w:themeTint="BF"/>
    </w:rPr>
  </w:style>
  <w:style w:type="character" w:customStyle="1" w:styleId="QuoteChar">
    <w:name w:val="Quote Char"/>
    <w:basedOn w:val="DefaultParagraphFont"/>
    <w:link w:val="Quote"/>
    <w:uiPriority w:val="29"/>
    <w:rsid w:val="00B906D9"/>
    <w:rPr>
      <w:i/>
      <w:iCs/>
      <w:color w:val="404040" w:themeColor="text1" w:themeTint="BF"/>
    </w:rPr>
  </w:style>
  <w:style w:type="paragraph" w:styleId="ListParagraph">
    <w:name w:val="List Paragraph"/>
    <w:basedOn w:val="Normal"/>
    <w:uiPriority w:val="34"/>
    <w:qFormat/>
    <w:rsid w:val="00B906D9"/>
    <w:pPr>
      <w:ind w:left="720"/>
      <w:contextualSpacing/>
    </w:pPr>
  </w:style>
  <w:style w:type="character" w:styleId="IntenseEmphasis">
    <w:name w:val="Intense Emphasis"/>
    <w:basedOn w:val="DefaultParagraphFont"/>
    <w:uiPriority w:val="21"/>
    <w:qFormat/>
    <w:rsid w:val="00B906D9"/>
    <w:rPr>
      <w:i/>
      <w:iCs/>
      <w:color w:val="0F4761" w:themeColor="accent1" w:themeShade="BF"/>
    </w:rPr>
  </w:style>
  <w:style w:type="paragraph" w:styleId="IntenseQuote">
    <w:name w:val="Intense Quote"/>
    <w:basedOn w:val="Normal"/>
    <w:next w:val="Normal"/>
    <w:link w:val="IntenseQuoteChar"/>
    <w:uiPriority w:val="30"/>
    <w:qFormat/>
    <w:rsid w:val="00B90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D9"/>
    <w:rPr>
      <w:i/>
      <w:iCs/>
      <w:color w:val="0F4761" w:themeColor="accent1" w:themeShade="BF"/>
    </w:rPr>
  </w:style>
  <w:style w:type="character" w:styleId="IntenseReference">
    <w:name w:val="Intense Reference"/>
    <w:basedOn w:val="DefaultParagraphFont"/>
    <w:uiPriority w:val="32"/>
    <w:qFormat/>
    <w:rsid w:val="00B906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2025-12-04T06:48:00Z</dcterms:created>
  <dcterms:modified xsi:type="dcterms:W3CDTF">2025-12-04T06:51:00Z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2025-12-04T06:51:24Z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7128a3d0-ebc6-4100-bd7a-9df9ab0e8189</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