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F05E0" w14:textId="2461F8EC" w:rsidR="005041D9" w:rsidRPr="007655B4" w:rsidRDefault="00834EE6" w:rsidP="007655B4">
      <w:pPr>
        <w:pStyle w:val="ListParagraph"/>
        <w:numPr>
          <w:ilvl w:val="0"/>
          <w:numId w:val="50"/>
        </w:numPr>
        <w:spacing w:line="360" w:lineRule="auto"/>
        <w:jc w:val="both"/>
        <w:rPr>
          <w:rFonts w:ascii="Arial" w:eastAsia="Calibri" w:hAnsi="Arial" w:cs="Arial"/>
          <w:b/>
          <w:lang w:val="en-ZA"/>
        </w:rPr>
      </w:pPr>
      <w:r w:rsidRPr="007655B4">
        <w:rPr>
          <w:rFonts w:ascii="Arial" w:eastAsia="Calibri" w:hAnsi="Arial" w:cs="Arial"/>
          <w:b/>
          <w:lang w:val="en-ZA"/>
        </w:rPr>
        <w:t>Dr V Knoetze to ask the Premier:</w:t>
      </w:r>
    </w:p>
    <w:p w14:paraId="34925BA1" w14:textId="77777777" w:rsidR="008066EA" w:rsidRDefault="008066EA" w:rsidP="008066EA">
      <w:pPr>
        <w:pStyle w:val="ListParagraph"/>
        <w:spacing w:line="360" w:lineRule="auto"/>
        <w:ind w:left="-774"/>
        <w:jc w:val="both"/>
        <w:rPr>
          <w:rFonts w:ascii="Arial" w:eastAsia="Calibri" w:hAnsi="Arial" w:cs="Arial"/>
          <w:b/>
          <w:lang w:val="en-ZA"/>
        </w:rPr>
      </w:pPr>
    </w:p>
    <w:p w14:paraId="76F47E4A" w14:textId="48BD62AB" w:rsidR="00B54985" w:rsidRPr="005041D9" w:rsidRDefault="00B54985" w:rsidP="008066EA">
      <w:pPr>
        <w:pStyle w:val="ListParagraph"/>
        <w:spacing w:line="360" w:lineRule="auto"/>
        <w:ind w:left="-1134"/>
        <w:jc w:val="both"/>
        <w:rPr>
          <w:rFonts w:ascii="Arial" w:eastAsia="Calibri" w:hAnsi="Arial" w:cs="Arial"/>
          <w:b/>
          <w:lang w:val="en-ZA"/>
        </w:rPr>
      </w:pPr>
      <w:r w:rsidRPr="005041D9">
        <w:rPr>
          <w:rFonts w:ascii="Arial" w:eastAsia="Aptos" w:hAnsi="Arial" w:cs="Arial"/>
          <w:i/>
          <w:iCs/>
          <w:kern w:val="2"/>
          <w:lang w:val="en-ZA"/>
          <w14:ligatures w14:val="standardContextual"/>
        </w:rPr>
        <w:t xml:space="preserve">In light of the provincial official unemployment rate having reportedly risen to 42.5% in the fourth quarter of 2025, with expanded unemployment at 51.4% and non-metro unemployment at 51.5%, noting that the Isiqalo Youth Fund had a budget allocation of R30 million in 2024/25 but spent only R17.1 million, reaching just 22 beneficiaries and further noting rising fuel and other input costs linked to the escalating conflict involving Iran are allegedly placing  further inflationary pressure on households and the economy:   </w:t>
      </w:r>
    </w:p>
    <w:tbl>
      <w:tblPr>
        <w:tblW w:w="9781"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4237"/>
      </w:tblGrid>
      <w:tr w:rsidR="00B853EB" w:rsidRPr="005041D9" w14:paraId="1225463A" w14:textId="77777777" w:rsidTr="008066EA">
        <w:trPr>
          <w:trHeight w:val="297"/>
        </w:trPr>
        <w:tc>
          <w:tcPr>
            <w:tcW w:w="5544" w:type="dxa"/>
            <w:shd w:val="clear" w:color="auto" w:fill="D9D9D9"/>
          </w:tcPr>
          <w:p w14:paraId="52F252B3" w14:textId="77777777" w:rsidR="00B853EB" w:rsidRPr="005041D9" w:rsidRDefault="00B853EB" w:rsidP="005041D9">
            <w:pPr>
              <w:spacing w:line="360" w:lineRule="auto"/>
              <w:jc w:val="both"/>
              <w:rPr>
                <w:rFonts w:ascii="Arial" w:hAnsi="Arial" w:cs="Arial"/>
                <w:b/>
                <w:lang w:val="en-ZA"/>
              </w:rPr>
            </w:pPr>
            <w:r w:rsidRPr="005041D9">
              <w:rPr>
                <w:rFonts w:ascii="Arial" w:hAnsi="Arial" w:cs="Arial"/>
                <w:b/>
                <w:lang w:val="en-ZA"/>
              </w:rPr>
              <w:t>QUESTION</w:t>
            </w:r>
          </w:p>
        </w:tc>
        <w:tc>
          <w:tcPr>
            <w:tcW w:w="4237" w:type="dxa"/>
            <w:shd w:val="clear" w:color="auto" w:fill="D9D9D9"/>
          </w:tcPr>
          <w:p w14:paraId="355B7F09" w14:textId="77777777" w:rsidR="00B853EB" w:rsidRPr="005041D9" w:rsidRDefault="00B853EB" w:rsidP="005041D9">
            <w:pPr>
              <w:spacing w:line="360" w:lineRule="auto"/>
              <w:jc w:val="both"/>
              <w:rPr>
                <w:rFonts w:ascii="Arial" w:hAnsi="Arial" w:cs="Arial"/>
                <w:b/>
                <w:lang w:val="en-ZA"/>
              </w:rPr>
            </w:pPr>
            <w:r w:rsidRPr="005041D9">
              <w:rPr>
                <w:rFonts w:ascii="Arial" w:hAnsi="Arial" w:cs="Arial"/>
                <w:b/>
                <w:lang w:val="en-ZA"/>
              </w:rPr>
              <w:t>RESPONSE</w:t>
            </w:r>
          </w:p>
        </w:tc>
      </w:tr>
      <w:tr w:rsidR="00CD6D8A" w:rsidRPr="005041D9" w14:paraId="6A0F5F29" w14:textId="77777777" w:rsidTr="005041D9">
        <w:trPr>
          <w:trHeight w:val="603"/>
        </w:trPr>
        <w:tc>
          <w:tcPr>
            <w:tcW w:w="5544" w:type="dxa"/>
          </w:tcPr>
          <w:p w14:paraId="3B03DD43" w14:textId="0ED54790" w:rsidR="00CD6D8A" w:rsidRPr="005041D9" w:rsidRDefault="00CD6D8A" w:rsidP="005041D9">
            <w:pPr>
              <w:pStyle w:val="ListParagraph"/>
              <w:numPr>
                <w:ilvl w:val="0"/>
                <w:numId w:val="33"/>
              </w:numPr>
              <w:spacing w:line="360" w:lineRule="auto"/>
              <w:jc w:val="both"/>
              <w:rPr>
                <w:rFonts w:ascii="Arial" w:hAnsi="Arial" w:cs="Arial"/>
              </w:rPr>
            </w:pPr>
            <w:r w:rsidRPr="005041D9">
              <w:rPr>
                <w:rFonts w:ascii="Arial" w:hAnsi="Arial" w:cs="Arial"/>
              </w:rPr>
              <w:t>What concrete interventions, in the 2026/27 financial year, is his Office implementing towards reducing unemployment, particularly among young people and in non-metro areas where unemployment is highest;</w:t>
            </w:r>
          </w:p>
        </w:tc>
        <w:tc>
          <w:tcPr>
            <w:tcW w:w="4237" w:type="dxa"/>
          </w:tcPr>
          <w:p w14:paraId="341E1EA2" w14:textId="77777777" w:rsidR="00CD6D8A" w:rsidRPr="005041D9" w:rsidRDefault="00CD6D8A" w:rsidP="005041D9">
            <w:pPr>
              <w:spacing w:line="360" w:lineRule="auto"/>
              <w:jc w:val="both"/>
              <w:rPr>
                <w:rFonts w:ascii="Arial" w:hAnsi="Arial" w:cs="Arial"/>
                <w:bCs/>
                <w:lang w:val="en-ZA"/>
              </w:rPr>
            </w:pPr>
            <w:r w:rsidRPr="005041D9">
              <w:rPr>
                <w:rFonts w:ascii="Arial" w:hAnsi="Arial" w:cs="Arial"/>
                <w:bCs/>
                <w:lang w:val="en-ZA"/>
              </w:rPr>
              <w:t>In the 2026/27 financial year, the Office of the Premier, working through the Provincial Government and its partners, is implementing a targeted package of interventions.</w:t>
            </w:r>
          </w:p>
          <w:p w14:paraId="0289E98C" w14:textId="77777777" w:rsidR="00CD6D8A" w:rsidRPr="005041D9" w:rsidRDefault="00CD6D8A" w:rsidP="005041D9">
            <w:pPr>
              <w:spacing w:line="360" w:lineRule="auto"/>
              <w:jc w:val="both"/>
              <w:rPr>
                <w:rFonts w:ascii="Arial" w:hAnsi="Arial" w:cs="Arial"/>
                <w:bCs/>
                <w:lang w:val="en-ZA"/>
              </w:rPr>
            </w:pPr>
            <w:r w:rsidRPr="005041D9">
              <w:rPr>
                <w:rFonts w:ascii="Arial" w:hAnsi="Arial" w:cs="Arial"/>
                <w:bCs/>
                <w:lang w:val="en-ZA"/>
              </w:rPr>
              <w:t>The OTP will continue to coordinate and implement skills development and training programmes by scaling internship, learnership, and apprenticeship programmes, and will place special focus on placing graduates and TVET learners in rural districts through the donor-funded programmes.</w:t>
            </w:r>
          </w:p>
          <w:p w14:paraId="1E4C240A" w14:textId="7FD15847" w:rsidR="00CD6D8A" w:rsidRPr="005041D9" w:rsidRDefault="00CD6D8A" w:rsidP="005041D9">
            <w:pPr>
              <w:spacing w:line="360" w:lineRule="auto"/>
              <w:jc w:val="both"/>
              <w:rPr>
                <w:rFonts w:ascii="Arial" w:hAnsi="Arial" w:cs="Arial"/>
                <w:bCs/>
                <w:lang w:val="en-ZA"/>
              </w:rPr>
            </w:pPr>
            <w:r w:rsidRPr="005041D9">
              <w:rPr>
                <w:rFonts w:ascii="Arial" w:hAnsi="Arial" w:cs="Arial"/>
                <w:bCs/>
                <w:lang w:val="en-ZA"/>
              </w:rPr>
              <w:t xml:space="preserve">Scaling of youth employment through the Expanded Public Works Programme (EPWP) targets 55% of youth in the creation of work opportunities. Secondly, the Presidential Youth Employment Initiative (Basic Education </w:t>
            </w:r>
            <w:r w:rsidRPr="005041D9">
              <w:rPr>
                <w:rFonts w:ascii="Arial" w:hAnsi="Arial" w:cs="Arial"/>
                <w:bCs/>
                <w:lang w:val="en-ZA"/>
              </w:rPr>
              <w:lastRenderedPageBreak/>
              <w:t>Employment Initiative), which is targeting 28,709 unemployed youth.</w:t>
            </w:r>
          </w:p>
        </w:tc>
      </w:tr>
      <w:tr w:rsidR="00CD6D8A" w:rsidRPr="005041D9" w14:paraId="66CC103C" w14:textId="77777777" w:rsidTr="005041D9">
        <w:trPr>
          <w:trHeight w:val="603"/>
        </w:trPr>
        <w:tc>
          <w:tcPr>
            <w:tcW w:w="5544" w:type="dxa"/>
          </w:tcPr>
          <w:p w14:paraId="6AC28554" w14:textId="188D272F" w:rsidR="00CD6D8A" w:rsidRPr="005041D9" w:rsidRDefault="00CD6D8A" w:rsidP="005041D9">
            <w:pPr>
              <w:pStyle w:val="ListParagraph"/>
              <w:numPr>
                <w:ilvl w:val="0"/>
                <w:numId w:val="33"/>
              </w:numPr>
              <w:spacing w:line="360" w:lineRule="auto"/>
              <w:jc w:val="both"/>
              <w:rPr>
                <w:rFonts w:ascii="Arial" w:hAnsi="Arial" w:cs="Arial"/>
              </w:rPr>
            </w:pPr>
            <w:r w:rsidRPr="005041D9">
              <w:rPr>
                <w:rFonts w:ascii="Arial" w:hAnsi="Arial" w:cs="Arial"/>
              </w:rPr>
              <w:lastRenderedPageBreak/>
              <w:t>(a) What funding has his Office allocated to the Isiqalo Youth Fund for the aforementioned financial year, 2026/27, (b) what measurable employment outcomes are attached to that funding and (c) whether the Provincial Treasury has raised any concerns about accountability, performance or value for money in relation to the fund; if not, why;</w:t>
            </w:r>
          </w:p>
        </w:tc>
        <w:tc>
          <w:tcPr>
            <w:tcW w:w="4237" w:type="dxa"/>
          </w:tcPr>
          <w:p w14:paraId="1D349362" w14:textId="77777777" w:rsidR="00CD6D8A" w:rsidRPr="005041D9" w:rsidRDefault="00CD6D8A" w:rsidP="005041D9">
            <w:pPr>
              <w:spacing w:line="360" w:lineRule="auto"/>
              <w:jc w:val="both"/>
              <w:rPr>
                <w:rFonts w:ascii="Arial" w:hAnsi="Arial" w:cs="Arial"/>
                <w:bCs/>
                <w:lang w:val="en-ZA"/>
              </w:rPr>
            </w:pPr>
            <w:r w:rsidRPr="005041D9">
              <w:rPr>
                <w:rFonts w:ascii="Arial" w:hAnsi="Arial" w:cs="Arial"/>
                <w:bCs/>
                <w:lang w:val="en-ZA"/>
              </w:rPr>
              <w:t xml:space="preserve">(a) There is no allocation received from Provincial Treasury for Isiqalo Youth Fund for 2026/27 financial year. </w:t>
            </w:r>
          </w:p>
          <w:p w14:paraId="0506DD43" w14:textId="77777777" w:rsidR="00CD6D8A" w:rsidRPr="005041D9" w:rsidRDefault="00CD6D8A" w:rsidP="005041D9">
            <w:pPr>
              <w:spacing w:line="360" w:lineRule="auto"/>
              <w:jc w:val="both"/>
              <w:rPr>
                <w:rFonts w:ascii="Arial" w:hAnsi="Arial" w:cs="Arial"/>
                <w:bCs/>
                <w:lang w:val="en-ZA"/>
              </w:rPr>
            </w:pPr>
            <w:r w:rsidRPr="005041D9">
              <w:rPr>
                <w:rFonts w:ascii="Arial" w:hAnsi="Arial" w:cs="Arial"/>
                <w:bCs/>
                <w:lang w:val="en-ZA"/>
              </w:rPr>
              <w:t xml:space="preserve">(b) This will be established once funding is availed for the Isiqalo Youth Fund. </w:t>
            </w:r>
          </w:p>
          <w:p w14:paraId="4381D4C3" w14:textId="736311D4" w:rsidR="00CD6D8A" w:rsidRPr="005041D9" w:rsidRDefault="00CD6D8A" w:rsidP="005041D9">
            <w:pPr>
              <w:spacing w:line="360" w:lineRule="auto"/>
              <w:jc w:val="both"/>
              <w:rPr>
                <w:rFonts w:ascii="Arial" w:hAnsi="Arial" w:cs="Arial"/>
                <w:bCs/>
                <w:lang w:val="en-ZA"/>
              </w:rPr>
            </w:pPr>
            <w:r w:rsidRPr="005041D9">
              <w:rPr>
                <w:rFonts w:ascii="Arial" w:hAnsi="Arial" w:cs="Arial"/>
                <w:bCs/>
                <w:lang w:val="en-ZA"/>
              </w:rPr>
              <w:t>(c) The Department submits financial and performance reports to Provincial Treasury in accordance with applicable legislative and oversight requirements. Provincial Treasury has not raised any formal concerns regarding accountability, performance, or value for money or lack thereof in relation to the Fund.</w:t>
            </w:r>
          </w:p>
        </w:tc>
      </w:tr>
      <w:tr w:rsidR="00CD6D8A" w:rsidRPr="005041D9" w14:paraId="07A8AB90" w14:textId="77777777" w:rsidTr="005041D9">
        <w:trPr>
          <w:trHeight w:val="603"/>
        </w:trPr>
        <w:tc>
          <w:tcPr>
            <w:tcW w:w="5544" w:type="dxa"/>
          </w:tcPr>
          <w:p w14:paraId="3D97AE01" w14:textId="71D09700" w:rsidR="00CD6D8A" w:rsidRPr="005041D9" w:rsidRDefault="00CD6D8A" w:rsidP="005041D9">
            <w:pPr>
              <w:pStyle w:val="ListParagraph"/>
              <w:numPr>
                <w:ilvl w:val="0"/>
                <w:numId w:val="33"/>
              </w:numPr>
              <w:spacing w:line="360" w:lineRule="auto"/>
              <w:jc w:val="both"/>
              <w:rPr>
                <w:rFonts w:ascii="Arial" w:hAnsi="Arial" w:cs="Arial"/>
              </w:rPr>
            </w:pPr>
            <w:r w:rsidRPr="005041D9">
              <w:rPr>
                <w:rFonts w:ascii="Arial" w:hAnsi="Arial" w:cs="Arial"/>
              </w:rPr>
              <w:t>Given that the Isiqalo Youth Fund reportedly supported only 22 beneficiaries and failed to spend 43% of its 2024/25 budget despite the province facing one of the worst unemployment crises in the country, what steps has his Office taken towards addressing concerns about (a) incomplete infrastructure, (b) uneven district spread, (c) weak verification access, (d) missing employees during site visits and (e) governance weaknesses at funded projects;</w:t>
            </w:r>
          </w:p>
        </w:tc>
        <w:tc>
          <w:tcPr>
            <w:tcW w:w="4237" w:type="dxa"/>
          </w:tcPr>
          <w:p w14:paraId="3AAFDE96" w14:textId="2494BE31" w:rsidR="00CD6D8A" w:rsidRPr="00DA7910" w:rsidRDefault="00CD6D8A" w:rsidP="005041D9">
            <w:pPr>
              <w:pStyle w:val="ListParagraph"/>
              <w:numPr>
                <w:ilvl w:val="0"/>
                <w:numId w:val="32"/>
              </w:numPr>
              <w:spacing w:line="360" w:lineRule="auto"/>
              <w:jc w:val="both"/>
              <w:rPr>
                <w:rFonts w:ascii="Arial" w:hAnsi="Arial" w:cs="Arial"/>
                <w:bCs/>
                <w:lang w:val="en-ZA"/>
              </w:rPr>
            </w:pPr>
            <w:r w:rsidRPr="005041D9">
              <w:rPr>
                <w:rFonts w:ascii="Arial" w:hAnsi="Arial" w:cs="Arial"/>
                <w:bCs/>
              </w:rPr>
              <w:t xml:space="preserve">IYF pre-approval due diligence and technical assessments will be more robust as we go to the next batch of entrepreneurs to be funded. The OTP is planning to formalize collaborations with other development finance agencies/entities and even government departments that are also funding SMMEs i.e. the ECDC, NYDA, DOA – this will ensure </w:t>
            </w:r>
            <w:r w:rsidR="00DA7910" w:rsidRPr="005041D9">
              <w:rPr>
                <w:rFonts w:ascii="Arial" w:hAnsi="Arial" w:cs="Arial"/>
                <w:bCs/>
              </w:rPr>
              <w:t>that technical</w:t>
            </w:r>
            <w:r w:rsidRPr="005041D9">
              <w:rPr>
                <w:rFonts w:ascii="Arial" w:hAnsi="Arial" w:cs="Arial"/>
                <w:bCs/>
              </w:rPr>
              <w:t xml:space="preserve"> expertise relevant during site verifications is offered</w:t>
            </w:r>
            <w:r w:rsidR="00DA7910">
              <w:rPr>
                <w:rFonts w:ascii="Arial" w:hAnsi="Arial" w:cs="Arial"/>
                <w:bCs/>
              </w:rPr>
              <w:t>.</w:t>
            </w:r>
          </w:p>
          <w:p w14:paraId="39FEB534" w14:textId="77777777" w:rsidR="00DA7910" w:rsidRPr="005041D9" w:rsidRDefault="00DA7910" w:rsidP="00DA7910">
            <w:pPr>
              <w:pStyle w:val="ListParagraph"/>
              <w:spacing w:line="360" w:lineRule="auto"/>
              <w:ind w:left="0"/>
              <w:jc w:val="both"/>
              <w:rPr>
                <w:rFonts w:ascii="Arial" w:hAnsi="Arial" w:cs="Arial"/>
                <w:bCs/>
                <w:lang w:val="en-ZA"/>
              </w:rPr>
            </w:pPr>
          </w:p>
          <w:p w14:paraId="07FB01FA" w14:textId="77777777" w:rsidR="00CD6D8A" w:rsidRPr="00DA7910" w:rsidRDefault="00CD6D8A" w:rsidP="005041D9">
            <w:pPr>
              <w:pStyle w:val="ListParagraph"/>
              <w:numPr>
                <w:ilvl w:val="0"/>
                <w:numId w:val="32"/>
              </w:numPr>
              <w:spacing w:line="360" w:lineRule="auto"/>
              <w:jc w:val="both"/>
              <w:rPr>
                <w:rFonts w:ascii="Arial" w:hAnsi="Arial" w:cs="Arial"/>
                <w:bCs/>
                <w:lang w:val="en-ZA"/>
              </w:rPr>
            </w:pPr>
            <w:r w:rsidRPr="005041D9">
              <w:rPr>
                <w:rFonts w:ascii="Arial" w:hAnsi="Arial" w:cs="Arial"/>
                <w:b/>
              </w:rPr>
              <w:lastRenderedPageBreak/>
              <w:t>To address uneven district</w:t>
            </w:r>
            <w:r w:rsidRPr="005041D9">
              <w:rPr>
                <w:rFonts w:ascii="Arial" w:hAnsi="Arial" w:cs="Arial"/>
                <w:bCs/>
              </w:rPr>
              <w:t xml:space="preserve"> </w:t>
            </w:r>
            <w:r w:rsidRPr="005041D9">
              <w:rPr>
                <w:rFonts w:ascii="Arial" w:hAnsi="Arial" w:cs="Arial"/>
                <w:b/>
              </w:rPr>
              <w:t>distribution,</w:t>
            </w:r>
            <w:r w:rsidRPr="005041D9">
              <w:rPr>
                <w:rFonts w:ascii="Arial" w:hAnsi="Arial" w:cs="Arial"/>
                <w:bCs/>
              </w:rPr>
              <w:t xml:space="preserve"> the department has enhanced outreach programmes and awareness initiatives prioritizing those districts which had least applications. Coordination has improved working with local municipalities and district structures to broaden access to the Fund. The 2026/27 IYF implementation Plan also includes identification/mapping of critical stakeholders to work with to ensure equitable geographic spread.</w:t>
            </w:r>
          </w:p>
          <w:p w14:paraId="4DBD6DF6" w14:textId="77777777" w:rsidR="00DA7910" w:rsidRPr="00DA7910" w:rsidRDefault="00DA7910" w:rsidP="00DA7910">
            <w:pPr>
              <w:pStyle w:val="ListParagraph"/>
              <w:rPr>
                <w:rFonts w:ascii="Arial" w:hAnsi="Arial" w:cs="Arial"/>
                <w:bCs/>
                <w:lang w:val="en-ZA"/>
              </w:rPr>
            </w:pPr>
          </w:p>
          <w:p w14:paraId="1E1CB0F5" w14:textId="77777777" w:rsidR="00DA7910" w:rsidRPr="005041D9" w:rsidRDefault="00DA7910" w:rsidP="00DA7910">
            <w:pPr>
              <w:pStyle w:val="ListParagraph"/>
              <w:spacing w:line="360" w:lineRule="auto"/>
              <w:ind w:left="0"/>
              <w:jc w:val="both"/>
              <w:rPr>
                <w:rFonts w:ascii="Arial" w:hAnsi="Arial" w:cs="Arial"/>
                <w:bCs/>
                <w:lang w:val="en-ZA"/>
              </w:rPr>
            </w:pPr>
          </w:p>
          <w:p w14:paraId="4387935C" w14:textId="77777777" w:rsidR="00CD6D8A" w:rsidRPr="005041D9" w:rsidRDefault="00CD6D8A" w:rsidP="005041D9">
            <w:pPr>
              <w:pStyle w:val="ListParagraph"/>
              <w:numPr>
                <w:ilvl w:val="0"/>
                <w:numId w:val="32"/>
              </w:numPr>
              <w:spacing w:line="360" w:lineRule="auto"/>
              <w:jc w:val="both"/>
              <w:rPr>
                <w:rFonts w:ascii="Arial" w:hAnsi="Arial" w:cs="Arial"/>
                <w:bCs/>
                <w:lang w:val="en-ZA"/>
              </w:rPr>
            </w:pPr>
            <w:r w:rsidRPr="005041D9">
              <w:rPr>
                <w:rFonts w:ascii="Arial" w:hAnsi="Arial" w:cs="Arial"/>
                <w:b/>
                <w:lang w:val="en-ZA"/>
              </w:rPr>
              <w:t>On verification, the Department</w:t>
            </w:r>
            <w:r w:rsidRPr="005041D9">
              <w:rPr>
                <w:rFonts w:ascii="Arial" w:hAnsi="Arial" w:cs="Arial"/>
                <w:bCs/>
                <w:lang w:val="en-ZA"/>
              </w:rPr>
              <w:t xml:space="preserve"> has strengthened monitoring of operations through structured site visits, improved documentation (monitoring tools) to enhance monitoring tools. </w:t>
            </w:r>
          </w:p>
          <w:p w14:paraId="0520C0F4" w14:textId="54970E02" w:rsidR="00DA7910" w:rsidRDefault="00CD6D8A" w:rsidP="00DA7910">
            <w:pPr>
              <w:spacing w:line="360" w:lineRule="auto"/>
              <w:jc w:val="both"/>
              <w:rPr>
                <w:rFonts w:ascii="Arial" w:hAnsi="Arial" w:cs="Arial"/>
                <w:bCs/>
                <w:lang w:val="en-ZA"/>
              </w:rPr>
            </w:pPr>
            <w:r w:rsidRPr="00DA7910">
              <w:rPr>
                <w:rFonts w:ascii="Arial" w:hAnsi="Arial" w:cs="Arial"/>
                <w:bCs/>
                <w:lang w:val="en-ZA"/>
              </w:rPr>
              <w:t>The department has also integrated IYF funded projects to Provincial Monitoring &amp; Evaluation Directorate’s plans to ensure that verification or oversight monitoring is done.</w:t>
            </w:r>
          </w:p>
          <w:p w14:paraId="432187FF" w14:textId="77777777" w:rsidR="00DA7910" w:rsidRPr="00DA7910" w:rsidRDefault="00DA7910" w:rsidP="00DA7910">
            <w:pPr>
              <w:spacing w:line="360" w:lineRule="auto"/>
              <w:jc w:val="both"/>
              <w:rPr>
                <w:rFonts w:ascii="Arial" w:hAnsi="Arial" w:cs="Arial"/>
                <w:bCs/>
                <w:lang w:val="en-ZA"/>
              </w:rPr>
            </w:pPr>
          </w:p>
          <w:p w14:paraId="321D7BF2" w14:textId="77777777" w:rsidR="00CD6D8A" w:rsidRPr="005041D9" w:rsidRDefault="00CD6D8A" w:rsidP="005041D9">
            <w:pPr>
              <w:pStyle w:val="ListParagraph"/>
              <w:numPr>
                <w:ilvl w:val="0"/>
                <w:numId w:val="32"/>
              </w:numPr>
              <w:spacing w:line="360" w:lineRule="auto"/>
              <w:jc w:val="both"/>
              <w:rPr>
                <w:rFonts w:ascii="Arial" w:hAnsi="Arial" w:cs="Arial"/>
                <w:bCs/>
                <w:lang w:val="en-ZA"/>
              </w:rPr>
            </w:pPr>
            <w:r w:rsidRPr="005041D9">
              <w:rPr>
                <w:rFonts w:ascii="Arial" w:hAnsi="Arial" w:cs="Arial"/>
                <w:bCs/>
              </w:rPr>
              <w:t xml:space="preserve">The department has strengthened the accountability of funded enterprises through enforcement of Funding agreements </w:t>
            </w:r>
            <w:r w:rsidRPr="005041D9">
              <w:rPr>
                <w:rFonts w:ascii="Arial" w:hAnsi="Arial" w:cs="Arial"/>
                <w:bCs/>
              </w:rPr>
              <w:lastRenderedPageBreak/>
              <w:t xml:space="preserve">which require enterprises to maintain proper employment records and ensure regular availability of personnel during monitoring. </w:t>
            </w:r>
          </w:p>
          <w:p w14:paraId="7EFB3EE4" w14:textId="3028B0BB" w:rsidR="00CD6D8A" w:rsidRPr="005041D9" w:rsidRDefault="00CD6D8A" w:rsidP="005041D9">
            <w:pPr>
              <w:spacing w:line="360" w:lineRule="auto"/>
              <w:jc w:val="both"/>
              <w:rPr>
                <w:rFonts w:ascii="Arial" w:hAnsi="Arial" w:cs="Arial"/>
                <w:bCs/>
                <w:lang w:val="en-ZA"/>
              </w:rPr>
            </w:pPr>
            <w:r w:rsidRPr="005041D9">
              <w:rPr>
                <w:rFonts w:ascii="Arial" w:hAnsi="Arial" w:cs="Arial"/>
                <w:bCs/>
                <w:lang w:val="en-ZA"/>
              </w:rPr>
              <w:t xml:space="preserve">In terms of governance weaknesses, </w:t>
            </w:r>
            <w:r w:rsidRPr="005041D9">
              <w:rPr>
                <w:rFonts w:ascii="Arial" w:hAnsi="Arial" w:cs="Arial"/>
                <w:bCs/>
              </w:rPr>
              <w:t xml:space="preserve">the department implemented structured business management training and a mentorship programme for funded beneficiaries. These interventions focus on strengthening financial management, record-keeping, regulatory compliance, corporate governance, and operational planning to enhance enterprise sustainability and improve governance standards. </w:t>
            </w:r>
          </w:p>
        </w:tc>
      </w:tr>
      <w:tr w:rsidR="00CD6D8A" w:rsidRPr="005041D9" w14:paraId="7C28E5E2" w14:textId="77777777" w:rsidTr="005041D9">
        <w:trPr>
          <w:trHeight w:val="603"/>
        </w:trPr>
        <w:tc>
          <w:tcPr>
            <w:tcW w:w="5544" w:type="dxa"/>
          </w:tcPr>
          <w:p w14:paraId="4461D46B" w14:textId="3FF5C9E6" w:rsidR="00CD6D8A" w:rsidRPr="005041D9" w:rsidRDefault="00CD6D8A" w:rsidP="005041D9">
            <w:pPr>
              <w:pStyle w:val="ListParagraph"/>
              <w:numPr>
                <w:ilvl w:val="0"/>
                <w:numId w:val="33"/>
              </w:numPr>
              <w:spacing w:line="360" w:lineRule="auto"/>
              <w:jc w:val="both"/>
              <w:rPr>
                <w:rFonts w:ascii="Arial" w:hAnsi="Arial" w:cs="Arial"/>
              </w:rPr>
            </w:pPr>
            <w:r w:rsidRPr="005041D9">
              <w:rPr>
                <w:rFonts w:ascii="Arial" w:hAnsi="Arial" w:cs="Arial"/>
              </w:rPr>
              <w:lastRenderedPageBreak/>
              <w:t xml:space="preserve">What provincial mitigation measures has his Office put in place towards (a) lessening the impact of rising fuel, food, transport and input costs linked to global price shocks and the escalating conflict involving Iran, (b) to save jobs </w:t>
            </w:r>
            <w:r w:rsidR="00DA7910" w:rsidRPr="005041D9">
              <w:rPr>
                <w:rFonts w:ascii="Arial" w:hAnsi="Arial" w:cs="Arial"/>
              </w:rPr>
              <w:t>and (</w:t>
            </w:r>
            <w:r w:rsidRPr="005041D9">
              <w:rPr>
                <w:rFonts w:ascii="Arial" w:hAnsi="Arial" w:cs="Arial"/>
              </w:rPr>
              <w:t>c) lessening the impact on poor households and small businesses?</w:t>
            </w:r>
          </w:p>
          <w:p w14:paraId="6CCA7B2B" w14:textId="75B5393D" w:rsidR="00CD6D8A" w:rsidRPr="005041D9" w:rsidRDefault="00CD6D8A" w:rsidP="005041D9">
            <w:pPr>
              <w:pStyle w:val="ListParagraph"/>
              <w:spacing w:line="360" w:lineRule="auto"/>
              <w:jc w:val="both"/>
              <w:rPr>
                <w:rFonts w:ascii="Arial" w:hAnsi="Arial" w:cs="Arial"/>
              </w:rPr>
            </w:pPr>
          </w:p>
        </w:tc>
        <w:tc>
          <w:tcPr>
            <w:tcW w:w="4237" w:type="dxa"/>
          </w:tcPr>
          <w:p w14:paraId="1A5591C6" w14:textId="77777777" w:rsidR="00357DBC" w:rsidRPr="00357DBC" w:rsidRDefault="00357DBC" w:rsidP="00357DBC">
            <w:pPr>
              <w:spacing w:line="360" w:lineRule="auto"/>
              <w:jc w:val="both"/>
              <w:rPr>
                <w:rFonts w:ascii="Arial" w:hAnsi="Arial" w:cs="Arial"/>
                <w:bCs/>
                <w:lang w:val="en-ZA"/>
              </w:rPr>
            </w:pPr>
            <w:r w:rsidRPr="00357DBC">
              <w:rPr>
                <w:rFonts w:ascii="Arial" w:hAnsi="Arial" w:cs="Arial"/>
                <w:bCs/>
                <w:lang w:val="en-ZA"/>
              </w:rPr>
              <w:t xml:space="preserve">The US/Israel-Iran conflict has driven up global oil prices, with oil trading between R1,700 and R1,850 per barrel. The supply disruption and rising oil prices will lead to cost-led inflation, affecting fuel, transport, and food costs in South Africa, pushing inflation higher and threatening the country's economic stability. This, combined with a perception of rising prices and the country's inflation target, will lead to the rate being maintained at current levels or increased further to manage inflation. The secondary effect might lead to </w:t>
            </w:r>
            <w:r w:rsidRPr="00357DBC">
              <w:rPr>
                <w:rFonts w:ascii="Arial" w:hAnsi="Arial" w:cs="Arial"/>
                <w:bCs/>
                <w:lang w:val="en-ZA"/>
              </w:rPr>
              <w:lastRenderedPageBreak/>
              <w:t>weaker demand for goods and services in the province, depressing the provincial government's efforts to grow the economy and create jobs.</w:t>
            </w:r>
          </w:p>
          <w:p w14:paraId="5FC61339" w14:textId="77777777" w:rsidR="00357DBC" w:rsidRPr="00357DBC" w:rsidRDefault="00357DBC" w:rsidP="00357DBC">
            <w:pPr>
              <w:spacing w:line="360" w:lineRule="auto"/>
              <w:jc w:val="both"/>
              <w:rPr>
                <w:rFonts w:ascii="Arial" w:hAnsi="Arial" w:cs="Arial"/>
                <w:b/>
                <w:lang w:val="en-ZA"/>
              </w:rPr>
            </w:pPr>
            <w:r w:rsidRPr="00357DBC">
              <w:rPr>
                <w:rFonts w:ascii="Arial" w:hAnsi="Arial" w:cs="Arial"/>
                <w:b/>
                <w:lang w:val="en-ZA"/>
              </w:rPr>
              <w:t>IMPACT AT THE COUNTRY LEVEL</w:t>
            </w:r>
          </w:p>
          <w:p w14:paraId="4CDC57AF" w14:textId="77777777" w:rsidR="00357DBC" w:rsidRPr="00357DBC" w:rsidRDefault="00357DBC" w:rsidP="00357DBC">
            <w:pPr>
              <w:spacing w:line="360" w:lineRule="auto"/>
              <w:jc w:val="both"/>
              <w:rPr>
                <w:rFonts w:ascii="Arial" w:hAnsi="Arial" w:cs="Arial"/>
                <w:bCs/>
                <w:lang w:val="en-ZA"/>
              </w:rPr>
            </w:pPr>
            <w:r w:rsidRPr="00357DBC">
              <w:rPr>
                <w:rFonts w:ascii="Arial" w:hAnsi="Arial" w:cs="Arial"/>
                <w:bCs/>
                <w:lang w:val="en-ZA"/>
              </w:rPr>
              <w:t>The war's effects on South Africa are primarily economic, with secondary political and social dimensions. Below is a breakdown:</w:t>
            </w:r>
          </w:p>
          <w:p w14:paraId="3C1CB695" w14:textId="77777777" w:rsidR="00357DBC" w:rsidRPr="00357DBC" w:rsidRDefault="00357DBC" w:rsidP="00357DBC">
            <w:pPr>
              <w:spacing w:line="360" w:lineRule="auto"/>
              <w:jc w:val="both"/>
              <w:rPr>
                <w:rFonts w:ascii="Arial" w:hAnsi="Arial" w:cs="Arial"/>
                <w:b/>
                <w:lang w:val="en-ZA"/>
              </w:rPr>
            </w:pPr>
            <w:r w:rsidRPr="00357DBC">
              <w:rPr>
                <w:rFonts w:ascii="Arial" w:hAnsi="Arial" w:cs="Arial"/>
                <w:b/>
                <w:lang w:val="en-ZA"/>
              </w:rPr>
              <w:t>Economic Impacts</w:t>
            </w:r>
          </w:p>
          <w:p w14:paraId="34953C16" w14:textId="29CE26E4" w:rsidR="00357DBC" w:rsidRDefault="00357DBC" w:rsidP="00357DBC">
            <w:pPr>
              <w:pStyle w:val="ListParagraph"/>
              <w:numPr>
                <w:ilvl w:val="0"/>
                <w:numId w:val="45"/>
              </w:numPr>
              <w:spacing w:line="360" w:lineRule="auto"/>
              <w:jc w:val="both"/>
              <w:rPr>
                <w:rFonts w:ascii="Arial" w:hAnsi="Arial" w:cs="Arial"/>
                <w:bCs/>
                <w:lang w:val="en-ZA"/>
              </w:rPr>
            </w:pPr>
            <w:r w:rsidRPr="00357DBC">
              <w:rPr>
                <w:rFonts w:ascii="Arial" w:hAnsi="Arial" w:cs="Arial"/>
                <w:bCs/>
                <w:lang w:val="en-ZA"/>
              </w:rPr>
              <w:t>Fuel and Energy Prices: South Africa, as a net importer of oil, faces surging fuel costs due to disruptions in the Strait of Hormuz, which handles about 20% of global oil flows. Oil prices have risen nearly 10%, and experts predict sustained increases could add significant pressure on domestic petrol and diesel prices, potentially halting planned interest rate cuts by the South African Reserve Bank. This would exacerbate inflation, raising transport and food costs for consumers.</w:t>
            </w:r>
          </w:p>
          <w:p w14:paraId="0B375B14" w14:textId="77777777" w:rsidR="00357DBC" w:rsidRPr="00357DBC" w:rsidRDefault="00357DBC" w:rsidP="00357DBC">
            <w:pPr>
              <w:pStyle w:val="ListParagraph"/>
              <w:spacing w:line="360" w:lineRule="auto"/>
              <w:jc w:val="both"/>
              <w:rPr>
                <w:rFonts w:ascii="Arial" w:hAnsi="Arial" w:cs="Arial"/>
                <w:bCs/>
                <w:lang w:val="en-ZA"/>
              </w:rPr>
            </w:pPr>
          </w:p>
          <w:p w14:paraId="5C2ED62E" w14:textId="2CF77EAD" w:rsidR="00357DBC" w:rsidRDefault="00357DBC" w:rsidP="00357DBC">
            <w:pPr>
              <w:pStyle w:val="ListParagraph"/>
              <w:numPr>
                <w:ilvl w:val="0"/>
                <w:numId w:val="45"/>
              </w:numPr>
              <w:spacing w:line="360" w:lineRule="auto"/>
              <w:jc w:val="both"/>
              <w:rPr>
                <w:rFonts w:ascii="Arial" w:hAnsi="Arial" w:cs="Arial"/>
                <w:bCs/>
                <w:lang w:val="en-ZA"/>
              </w:rPr>
            </w:pPr>
            <w:r w:rsidRPr="00357DBC">
              <w:rPr>
                <w:rFonts w:ascii="Arial" w:hAnsi="Arial" w:cs="Arial"/>
                <w:bCs/>
                <w:lang w:val="en-ZA"/>
              </w:rPr>
              <w:t xml:space="preserve">Currency and Inflation: The rand is under renewed pressure from global market volatility, leading to tighter financial conditions and slower economic growth. Higher inflation </w:t>
            </w:r>
            <w:r w:rsidRPr="00357DBC">
              <w:rPr>
                <w:rFonts w:ascii="Arial" w:hAnsi="Arial" w:cs="Arial"/>
                <w:bCs/>
                <w:lang w:val="en-ZA"/>
              </w:rPr>
              <w:lastRenderedPageBreak/>
              <w:t>could erode household incomes, particularly in import-dependent sectors.</w:t>
            </w:r>
          </w:p>
          <w:p w14:paraId="4D14057F" w14:textId="77777777" w:rsidR="00357DBC" w:rsidRPr="00357DBC" w:rsidRDefault="00357DBC" w:rsidP="00357DBC">
            <w:pPr>
              <w:pStyle w:val="ListParagraph"/>
              <w:rPr>
                <w:rFonts w:ascii="Arial" w:hAnsi="Arial" w:cs="Arial"/>
                <w:bCs/>
                <w:lang w:val="en-ZA"/>
              </w:rPr>
            </w:pPr>
          </w:p>
          <w:p w14:paraId="0BDB99C7" w14:textId="56924053" w:rsidR="00357DBC" w:rsidRDefault="00357DBC" w:rsidP="00357DBC">
            <w:pPr>
              <w:pStyle w:val="ListParagraph"/>
              <w:numPr>
                <w:ilvl w:val="0"/>
                <w:numId w:val="45"/>
              </w:numPr>
              <w:spacing w:line="360" w:lineRule="auto"/>
              <w:jc w:val="both"/>
              <w:rPr>
                <w:rFonts w:ascii="Arial" w:hAnsi="Arial" w:cs="Arial"/>
                <w:bCs/>
                <w:lang w:val="en-ZA"/>
              </w:rPr>
            </w:pPr>
            <w:r w:rsidRPr="00357DBC">
              <w:rPr>
                <w:rFonts w:ascii="Arial" w:hAnsi="Arial" w:cs="Arial"/>
                <w:bCs/>
                <w:lang w:val="en-ZA"/>
              </w:rPr>
              <w:t>Trade and Shipping: Shipping companies are rerouting vessels around the Cape of Good Hope to avoid the Persian Gulf and Red Sea, adding 10-15 days and up to R20 million in fuel costs per voyage. This could benefit South African ports through increased refuelling and resupply stops, but only if infrastructure inefficiencies (e.g., in ports and rail) are addressed. Major carriers like Maersk and CMA CGM have already implemented emergency surcharges and reroutes.</w:t>
            </w:r>
          </w:p>
          <w:p w14:paraId="1AC43ABF" w14:textId="77777777" w:rsidR="00357DBC" w:rsidRPr="00357DBC" w:rsidRDefault="00357DBC" w:rsidP="00357DBC">
            <w:pPr>
              <w:pStyle w:val="ListParagraph"/>
              <w:rPr>
                <w:rFonts w:ascii="Arial" w:hAnsi="Arial" w:cs="Arial"/>
                <w:bCs/>
                <w:lang w:val="en-ZA"/>
              </w:rPr>
            </w:pPr>
          </w:p>
          <w:p w14:paraId="02A70C76" w14:textId="36FB4358" w:rsidR="00357DBC" w:rsidRDefault="00357DBC" w:rsidP="00357DBC">
            <w:pPr>
              <w:pStyle w:val="ListParagraph"/>
              <w:numPr>
                <w:ilvl w:val="0"/>
                <w:numId w:val="45"/>
              </w:numPr>
              <w:spacing w:line="360" w:lineRule="auto"/>
              <w:jc w:val="both"/>
              <w:rPr>
                <w:rFonts w:ascii="Arial" w:hAnsi="Arial" w:cs="Arial"/>
                <w:bCs/>
                <w:lang w:val="en-ZA"/>
              </w:rPr>
            </w:pPr>
            <w:r w:rsidRPr="00357DBC">
              <w:rPr>
                <w:rFonts w:ascii="Arial" w:hAnsi="Arial" w:cs="Arial"/>
                <w:bCs/>
                <w:lang w:val="en-ZA"/>
              </w:rPr>
              <w:t>Mining Sector Gains: Rising precious metal prices, such as gold, could boost South Africa's mining exports, providing a partial offset to energy cost hikes.</w:t>
            </w:r>
          </w:p>
          <w:p w14:paraId="1DB5B347" w14:textId="77777777" w:rsidR="00357DBC" w:rsidRPr="00357DBC" w:rsidRDefault="00357DBC" w:rsidP="00357DBC">
            <w:pPr>
              <w:pStyle w:val="ListParagraph"/>
              <w:rPr>
                <w:rFonts w:ascii="Arial" w:hAnsi="Arial" w:cs="Arial"/>
                <w:bCs/>
                <w:lang w:val="en-ZA"/>
              </w:rPr>
            </w:pPr>
          </w:p>
          <w:p w14:paraId="5D95C1F0" w14:textId="7C179AB0" w:rsidR="00357DBC" w:rsidRPr="00357DBC" w:rsidRDefault="00357DBC" w:rsidP="00357DBC">
            <w:pPr>
              <w:pStyle w:val="ListParagraph"/>
              <w:numPr>
                <w:ilvl w:val="0"/>
                <w:numId w:val="45"/>
              </w:numPr>
              <w:spacing w:line="360" w:lineRule="auto"/>
              <w:jc w:val="both"/>
              <w:rPr>
                <w:rFonts w:ascii="Arial" w:hAnsi="Arial" w:cs="Arial"/>
                <w:bCs/>
                <w:lang w:val="en-ZA"/>
              </w:rPr>
            </w:pPr>
            <w:r w:rsidRPr="00357DBC">
              <w:rPr>
                <w:rFonts w:ascii="Arial" w:hAnsi="Arial" w:cs="Arial"/>
                <w:bCs/>
                <w:lang w:val="en-ZA"/>
              </w:rPr>
              <w:t>Broader Trade Disruptions: Air cargo and flights to the Middle East have been cancelled or delayed, affecting supply chains for goods like electronics, auto parts, and perishables. Global air cargo capacity is down 18%, intensifying logistics challenges.</w:t>
            </w:r>
          </w:p>
          <w:p w14:paraId="553E016F" w14:textId="77777777" w:rsidR="00357DBC" w:rsidRPr="00357DBC" w:rsidRDefault="00357DBC" w:rsidP="00357DBC">
            <w:pPr>
              <w:spacing w:line="360" w:lineRule="auto"/>
              <w:jc w:val="both"/>
              <w:rPr>
                <w:rFonts w:ascii="Arial" w:hAnsi="Arial" w:cs="Arial"/>
                <w:b/>
                <w:lang w:val="en-ZA"/>
              </w:rPr>
            </w:pPr>
            <w:r w:rsidRPr="00357DBC">
              <w:rPr>
                <w:rFonts w:ascii="Arial" w:hAnsi="Arial" w:cs="Arial"/>
                <w:b/>
                <w:lang w:val="en-ZA"/>
              </w:rPr>
              <w:lastRenderedPageBreak/>
              <w:t>EASTERN CAPE SPECIFIC IMPACTS</w:t>
            </w:r>
          </w:p>
          <w:p w14:paraId="46C9E9B9" w14:textId="77777777" w:rsidR="00357DBC" w:rsidRPr="00357DBC" w:rsidRDefault="00357DBC" w:rsidP="00357DBC">
            <w:pPr>
              <w:spacing w:line="360" w:lineRule="auto"/>
              <w:jc w:val="both"/>
              <w:rPr>
                <w:rFonts w:ascii="Arial" w:hAnsi="Arial" w:cs="Arial"/>
                <w:bCs/>
                <w:lang w:val="en-ZA"/>
              </w:rPr>
            </w:pPr>
            <w:r w:rsidRPr="00357DBC">
              <w:rPr>
                <w:rFonts w:ascii="Arial" w:hAnsi="Arial" w:cs="Arial"/>
                <w:bCs/>
                <w:lang w:val="en-ZA"/>
              </w:rPr>
              <w:t xml:space="preserve">The Eastern Cape, a province with key ports like </w:t>
            </w:r>
            <w:proofErr w:type="gramStart"/>
            <w:r w:rsidRPr="00357DBC">
              <w:rPr>
                <w:rFonts w:ascii="Arial" w:hAnsi="Arial" w:cs="Arial"/>
                <w:bCs/>
                <w:lang w:val="en-ZA"/>
              </w:rPr>
              <w:t>Gqeberha ,</w:t>
            </w:r>
            <w:proofErr w:type="gramEnd"/>
            <w:r w:rsidRPr="00357DBC">
              <w:rPr>
                <w:rFonts w:ascii="Arial" w:hAnsi="Arial" w:cs="Arial"/>
                <w:bCs/>
                <w:lang w:val="en-ZA"/>
              </w:rPr>
              <w:t xml:space="preserve"> Ngqura, and East London, faces amplified effects from national trends. Inferences from broader South African impacts highlight the following:</w:t>
            </w:r>
          </w:p>
          <w:p w14:paraId="4B183559" w14:textId="7E551A9F" w:rsidR="00357DBC" w:rsidRDefault="00357DBC" w:rsidP="00357DBC">
            <w:pPr>
              <w:pStyle w:val="ListParagraph"/>
              <w:numPr>
                <w:ilvl w:val="0"/>
                <w:numId w:val="46"/>
              </w:numPr>
              <w:spacing w:line="360" w:lineRule="auto"/>
              <w:jc w:val="both"/>
              <w:rPr>
                <w:rFonts w:ascii="Arial" w:hAnsi="Arial" w:cs="Arial"/>
                <w:bCs/>
                <w:lang w:val="en-ZA"/>
              </w:rPr>
            </w:pPr>
            <w:r w:rsidRPr="00357DBC">
              <w:rPr>
                <w:rFonts w:ascii="Arial" w:hAnsi="Arial" w:cs="Arial"/>
                <w:b/>
                <w:lang w:val="en-ZA"/>
              </w:rPr>
              <w:t>Ports and Maritime Economy:</w:t>
            </w:r>
            <w:r w:rsidRPr="00357DBC">
              <w:rPr>
                <w:rFonts w:ascii="Arial" w:hAnsi="Arial" w:cs="Arial"/>
                <w:bCs/>
                <w:lang w:val="en-ZA"/>
              </w:rPr>
              <w:t xml:space="preserve"> Increased global shipping reroutes around the Cape of Good Hope could drive more vessel traffic to Eastern Cape ports for refuelling, repairs, and cargo handling, potentially boosting local jobs and revenue. The Port of Ngqura, a deep-water facility, is well-positioned for container and bulk cargo from Asia-Europe routes. However, existing infrastructure bottlenecks (e.g., rail links) might limit gains, like challenges in Durban and Cape Town. If the conflict prolongs, insurance premiums for shipping could rise, indirectly affecting export-oriented industries like automotive manufacturing in the region (e.g., Volkswagen and Mercedes plants).</w:t>
            </w:r>
          </w:p>
          <w:p w14:paraId="5C2A9CB7" w14:textId="77777777" w:rsidR="00357DBC" w:rsidRPr="00357DBC" w:rsidRDefault="00357DBC" w:rsidP="00357DBC">
            <w:pPr>
              <w:pStyle w:val="ListParagraph"/>
              <w:spacing w:line="360" w:lineRule="auto"/>
              <w:jc w:val="both"/>
              <w:rPr>
                <w:rFonts w:ascii="Arial" w:hAnsi="Arial" w:cs="Arial"/>
                <w:bCs/>
                <w:lang w:val="en-ZA"/>
              </w:rPr>
            </w:pPr>
          </w:p>
          <w:p w14:paraId="7AC37AAF" w14:textId="2C714050" w:rsidR="00357DBC" w:rsidRDefault="00357DBC" w:rsidP="00357DBC">
            <w:pPr>
              <w:pStyle w:val="ListParagraph"/>
              <w:numPr>
                <w:ilvl w:val="0"/>
                <w:numId w:val="46"/>
              </w:numPr>
              <w:spacing w:line="360" w:lineRule="auto"/>
              <w:jc w:val="both"/>
              <w:rPr>
                <w:rFonts w:ascii="Arial" w:hAnsi="Arial" w:cs="Arial"/>
                <w:bCs/>
                <w:lang w:val="en-ZA"/>
              </w:rPr>
            </w:pPr>
            <w:r w:rsidRPr="00357DBC">
              <w:rPr>
                <w:rFonts w:ascii="Arial" w:hAnsi="Arial" w:cs="Arial"/>
                <w:b/>
                <w:lang w:val="en-ZA"/>
              </w:rPr>
              <w:t>Agriculture and Local Economy:</w:t>
            </w:r>
            <w:r w:rsidRPr="00357DBC">
              <w:rPr>
                <w:rFonts w:ascii="Arial" w:hAnsi="Arial" w:cs="Arial"/>
                <w:bCs/>
                <w:lang w:val="en-ZA"/>
              </w:rPr>
              <w:t xml:space="preserve"> Higher fuel and transport </w:t>
            </w:r>
            <w:r w:rsidRPr="00357DBC">
              <w:rPr>
                <w:rFonts w:ascii="Arial" w:hAnsi="Arial" w:cs="Arial"/>
                <w:bCs/>
                <w:lang w:val="en-ZA"/>
              </w:rPr>
              <w:lastRenderedPageBreak/>
              <w:t>costs will raise expenses for farmers, impacting key sectors like citrus, wool, and dairy exports. Food price inflation could strain rural households, where poverty rates are high. Tourism, reliant on-air travel, may suffer from global disruptions, reducing visitor numbers to attractions like Addo Elephant National Park.</w:t>
            </w:r>
          </w:p>
          <w:p w14:paraId="0EF18C13" w14:textId="77777777" w:rsidR="00357DBC" w:rsidRPr="00357DBC" w:rsidRDefault="00357DBC" w:rsidP="00357DBC">
            <w:pPr>
              <w:pStyle w:val="ListParagraph"/>
              <w:rPr>
                <w:rFonts w:ascii="Arial" w:hAnsi="Arial" w:cs="Arial"/>
                <w:bCs/>
                <w:lang w:val="en-ZA"/>
              </w:rPr>
            </w:pPr>
          </w:p>
          <w:p w14:paraId="3846863C" w14:textId="65CA7697" w:rsidR="00357DBC" w:rsidRDefault="00357DBC" w:rsidP="00357DBC">
            <w:pPr>
              <w:pStyle w:val="ListParagraph"/>
              <w:numPr>
                <w:ilvl w:val="0"/>
                <w:numId w:val="46"/>
              </w:numPr>
              <w:spacing w:line="360" w:lineRule="auto"/>
              <w:jc w:val="both"/>
              <w:rPr>
                <w:rFonts w:ascii="Arial" w:hAnsi="Arial" w:cs="Arial"/>
                <w:bCs/>
                <w:lang w:val="en-ZA"/>
              </w:rPr>
            </w:pPr>
            <w:r w:rsidRPr="00357DBC">
              <w:rPr>
                <w:rFonts w:ascii="Arial" w:hAnsi="Arial" w:cs="Arial"/>
                <w:b/>
                <w:lang w:val="en-ZA"/>
              </w:rPr>
              <w:t>Expats and Social Effects:</w:t>
            </w:r>
            <w:r w:rsidRPr="00357DBC">
              <w:rPr>
                <w:rFonts w:ascii="Arial" w:hAnsi="Arial" w:cs="Arial"/>
                <w:bCs/>
                <w:lang w:val="en-ZA"/>
              </w:rPr>
              <w:t xml:space="preserve"> Eastern Cape residents working in the Gulf (e.g., in education, engineering) report heightened anxiety from the conflict, with some facing evacuations or flight cancellations. Remittances from these expats could decline if jobs are affected.</w:t>
            </w:r>
          </w:p>
          <w:p w14:paraId="729227B3" w14:textId="77777777" w:rsidR="00357DBC" w:rsidRPr="00357DBC" w:rsidRDefault="00357DBC" w:rsidP="00357DBC">
            <w:pPr>
              <w:pStyle w:val="ListParagraph"/>
              <w:rPr>
                <w:rFonts w:ascii="Arial" w:hAnsi="Arial" w:cs="Arial"/>
                <w:bCs/>
                <w:lang w:val="en-ZA"/>
              </w:rPr>
            </w:pPr>
          </w:p>
          <w:p w14:paraId="04986C9D" w14:textId="44627430" w:rsidR="00357DBC" w:rsidRPr="00357DBC" w:rsidRDefault="00357DBC" w:rsidP="00357DBC">
            <w:pPr>
              <w:pStyle w:val="ListParagraph"/>
              <w:numPr>
                <w:ilvl w:val="0"/>
                <w:numId w:val="46"/>
              </w:numPr>
              <w:spacing w:line="360" w:lineRule="auto"/>
              <w:jc w:val="both"/>
              <w:rPr>
                <w:rFonts w:ascii="Arial" w:hAnsi="Arial" w:cs="Arial"/>
                <w:bCs/>
                <w:lang w:val="en-ZA"/>
              </w:rPr>
            </w:pPr>
            <w:r w:rsidRPr="00357DBC">
              <w:rPr>
                <w:rFonts w:ascii="Arial" w:hAnsi="Arial" w:cs="Arial"/>
                <w:b/>
                <w:lang w:val="en-ZA"/>
              </w:rPr>
              <w:t>Potential Opportunities and Risks:</w:t>
            </w:r>
            <w:r w:rsidRPr="00357DBC">
              <w:rPr>
                <w:rFonts w:ascii="Arial" w:hAnsi="Arial" w:cs="Arial"/>
                <w:bCs/>
                <w:lang w:val="en-ZA"/>
              </w:rPr>
              <w:t xml:space="preserve"> A prolonged war might enhance the strategic importance of the Eastern Cape's coastline, attracting investment in logistics. However, broader economic slowdowns could exacerbate unemployment and delay infrastructure projects.</w:t>
            </w:r>
          </w:p>
          <w:p w14:paraId="668B7B14" w14:textId="77777777" w:rsidR="00357DBC" w:rsidRPr="00357DBC" w:rsidRDefault="00357DBC" w:rsidP="00357DBC">
            <w:pPr>
              <w:spacing w:line="360" w:lineRule="auto"/>
              <w:jc w:val="both"/>
              <w:rPr>
                <w:rFonts w:ascii="Arial" w:hAnsi="Arial" w:cs="Arial"/>
                <w:b/>
                <w:lang w:val="en-ZA"/>
              </w:rPr>
            </w:pPr>
            <w:r w:rsidRPr="00357DBC">
              <w:rPr>
                <w:rFonts w:ascii="Arial" w:hAnsi="Arial" w:cs="Arial"/>
                <w:b/>
                <w:lang w:val="en-ZA"/>
              </w:rPr>
              <w:t>INTERVENTION MEASURES</w:t>
            </w:r>
          </w:p>
          <w:p w14:paraId="0FFDA960" w14:textId="77777777" w:rsidR="00357DBC" w:rsidRPr="00357DBC" w:rsidRDefault="00357DBC" w:rsidP="00357DBC">
            <w:pPr>
              <w:spacing w:line="360" w:lineRule="auto"/>
              <w:jc w:val="both"/>
              <w:rPr>
                <w:rFonts w:ascii="Arial" w:hAnsi="Arial" w:cs="Arial"/>
                <w:bCs/>
                <w:lang w:val="en-ZA"/>
              </w:rPr>
            </w:pPr>
            <w:r w:rsidRPr="00357DBC">
              <w:rPr>
                <w:rFonts w:ascii="Arial" w:hAnsi="Arial" w:cs="Arial"/>
                <w:bCs/>
                <w:lang w:val="en-ZA"/>
              </w:rPr>
              <w:t xml:space="preserve">The provincial government welcomes the short-term relief measures to address rising fuel prices, which are </w:t>
            </w:r>
            <w:r w:rsidRPr="00357DBC">
              <w:rPr>
                <w:rFonts w:ascii="Arial" w:hAnsi="Arial" w:cs="Arial"/>
                <w:bCs/>
                <w:lang w:val="en-ZA"/>
              </w:rPr>
              <w:lastRenderedPageBreak/>
              <w:t>effective from the 1st of April to the 5th of May 2025. The province will also monitor and engage the national government on envisaged broader measures to support households and businesses. The province will also activate and utilise existing instruments to sustain and mitigate the impact of this shock to our provincial economy. This includes the following:</w:t>
            </w:r>
          </w:p>
          <w:p w14:paraId="11578C10" w14:textId="7D1E8847" w:rsidR="00357DBC" w:rsidRPr="00357DBC" w:rsidRDefault="00357DBC" w:rsidP="00357DBC">
            <w:pPr>
              <w:pStyle w:val="ListParagraph"/>
              <w:numPr>
                <w:ilvl w:val="0"/>
                <w:numId w:val="47"/>
              </w:numPr>
              <w:spacing w:line="360" w:lineRule="auto"/>
              <w:jc w:val="both"/>
              <w:rPr>
                <w:rFonts w:ascii="Arial" w:hAnsi="Arial" w:cs="Arial"/>
                <w:bCs/>
                <w:lang w:val="en-ZA"/>
              </w:rPr>
            </w:pPr>
            <w:r w:rsidRPr="00357DBC">
              <w:rPr>
                <w:rFonts w:ascii="Arial" w:hAnsi="Arial" w:cs="Arial"/>
                <w:bCs/>
                <w:lang w:val="en-ZA"/>
              </w:rPr>
              <w:t>Activation of the Provincial Economic Recovery Workstream under the Disaster Management framework to monitor the situation, adopt lessons learnt from previous shocks such as Covid-19, coordinated economic recovery response.</w:t>
            </w:r>
          </w:p>
          <w:p w14:paraId="63121627" w14:textId="799385D2" w:rsidR="00357DBC" w:rsidRPr="00357DBC" w:rsidRDefault="00357DBC" w:rsidP="00357DBC">
            <w:pPr>
              <w:pStyle w:val="ListParagraph"/>
              <w:numPr>
                <w:ilvl w:val="0"/>
                <w:numId w:val="47"/>
              </w:numPr>
              <w:spacing w:line="360" w:lineRule="auto"/>
              <w:jc w:val="both"/>
              <w:rPr>
                <w:rFonts w:ascii="Arial" w:hAnsi="Arial" w:cs="Arial"/>
                <w:bCs/>
                <w:lang w:val="en-ZA"/>
              </w:rPr>
            </w:pPr>
            <w:r w:rsidRPr="00357DBC">
              <w:rPr>
                <w:rFonts w:ascii="Arial" w:hAnsi="Arial" w:cs="Arial"/>
                <w:bCs/>
                <w:lang w:val="en-ZA"/>
              </w:rPr>
              <w:t>Utilise existing support programmes such Job Stimulus Fund and Manufacturing Companies in Distress programme to increase accessibility and reach to companies affected by the shock</w:t>
            </w:r>
          </w:p>
          <w:p w14:paraId="47E8D193" w14:textId="77777777" w:rsidR="00357DBC" w:rsidRPr="00357DBC" w:rsidRDefault="00357DBC" w:rsidP="00357DBC">
            <w:pPr>
              <w:spacing w:line="360" w:lineRule="auto"/>
              <w:jc w:val="both"/>
              <w:rPr>
                <w:rFonts w:ascii="Arial" w:hAnsi="Arial" w:cs="Arial"/>
                <w:b/>
                <w:lang w:val="en-ZA"/>
              </w:rPr>
            </w:pPr>
            <w:r w:rsidRPr="00357DBC">
              <w:rPr>
                <w:rFonts w:ascii="Arial" w:hAnsi="Arial" w:cs="Arial"/>
                <w:b/>
                <w:lang w:val="en-ZA"/>
              </w:rPr>
              <w:t xml:space="preserve">Activate </w:t>
            </w:r>
            <w:proofErr w:type="gramStart"/>
            <w:r w:rsidRPr="00357DBC">
              <w:rPr>
                <w:rFonts w:ascii="Arial" w:hAnsi="Arial" w:cs="Arial"/>
                <w:b/>
                <w:lang w:val="en-ZA"/>
              </w:rPr>
              <w:t>the  Provincial</w:t>
            </w:r>
            <w:proofErr w:type="gramEnd"/>
            <w:r w:rsidRPr="00357DBC">
              <w:rPr>
                <w:rFonts w:ascii="Arial" w:hAnsi="Arial" w:cs="Arial"/>
                <w:b/>
                <w:lang w:val="en-ZA"/>
              </w:rPr>
              <w:t xml:space="preserve"> Economic Recovery Workstream</w:t>
            </w:r>
          </w:p>
          <w:p w14:paraId="49BCD476" w14:textId="77777777" w:rsidR="00357DBC" w:rsidRPr="00357DBC" w:rsidRDefault="00357DBC" w:rsidP="00357DBC">
            <w:pPr>
              <w:spacing w:line="360" w:lineRule="auto"/>
              <w:jc w:val="both"/>
              <w:rPr>
                <w:rFonts w:ascii="Arial" w:hAnsi="Arial" w:cs="Arial"/>
                <w:bCs/>
                <w:lang w:val="en-ZA"/>
              </w:rPr>
            </w:pPr>
            <w:r w:rsidRPr="00357DBC">
              <w:rPr>
                <w:rFonts w:ascii="Arial" w:hAnsi="Arial" w:cs="Arial"/>
                <w:bCs/>
                <w:lang w:val="en-ZA"/>
              </w:rPr>
              <w:lastRenderedPageBreak/>
              <w:t>The purpose of the Provincial Economic Recovery Workstream is to:</w:t>
            </w:r>
          </w:p>
          <w:p w14:paraId="6C2F8775" w14:textId="29F6DCBC" w:rsidR="00357DBC" w:rsidRPr="00357DBC" w:rsidRDefault="00357DBC" w:rsidP="00357DBC">
            <w:pPr>
              <w:pStyle w:val="ListParagraph"/>
              <w:numPr>
                <w:ilvl w:val="0"/>
                <w:numId w:val="48"/>
              </w:numPr>
              <w:spacing w:line="360" w:lineRule="auto"/>
              <w:jc w:val="both"/>
              <w:rPr>
                <w:rFonts w:ascii="Arial" w:hAnsi="Arial" w:cs="Arial"/>
                <w:bCs/>
                <w:lang w:val="en-ZA"/>
              </w:rPr>
            </w:pPr>
            <w:r w:rsidRPr="00357DBC">
              <w:rPr>
                <w:rFonts w:ascii="Arial" w:hAnsi="Arial" w:cs="Arial"/>
                <w:bCs/>
                <w:lang w:val="en-ZA"/>
              </w:rPr>
              <w:t xml:space="preserve">Facilitate coordinated economic recovery planning and response </w:t>
            </w:r>
          </w:p>
          <w:p w14:paraId="766C967A" w14:textId="6BE64F88" w:rsidR="00357DBC" w:rsidRPr="00357DBC" w:rsidRDefault="00357DBC" w:rsidP="00357DBC">
            <w:pPr>
              <w:pStyle w:val="ListParagraph"/>
              <w:numPr>
                <w:ilvl w:val="0"/>
                <w:numId w:val="48"/>
              </w:numPr>
              <w:spacing w:line="360" w:lineRule="auto"/>
              <w:jc w:val="both"/>
              <w:rPr>
                <w:rFonts w:ascii="Arial" w:hAnsi="Arial" w:cs="Arial"/>
                <w:bCs/>
                <w:lang w:val="en-ZA"/>
              </w:rPr>
            </w:pPr>
            <w:r w:rsidRPr="00357DBC">
              <w:rPr>
                <w:rFonts w:ascii="Arial" w:hAnsi="Arial" w:cs="Arial"/>
                <w:bCs/>
                <w:lang w:val="en-ZA"/>
              </w:rPr>
              <w:t>Ensure alignment of interventions by all economic development entities and stakeholders.</w:t>
            </w:r>
          </w:p>
          <w:p w14:paraId="3ED5B3A4" w14:textId="6C855CF5" w:rsidR="00357DBC" w:rsidRPr="00357DBC" w:rsidRDefault="00357DBC" w:rsidP="00357DBC">
            <w:pPr>
              <w:pStyle w:val="ListParagraph"/>
              <w:numPr>
                <w:ilvl w:val="0"/>
                <w:numId w:val="48"/>
              </w:numPr>
              <w:spacing w:line="360" w:lineRule="auto"/>
              <w:jc w:val="both"/>
              <w:rPr>
                <w:rFonts w:ascii="Arial" w:hAnsi="Arial" w:cs="Arial"/>
                <w:bCs/>
                <w:lang w:val="en-ZA"/>
              </w:rPr>
            </w:pPr>
            <w:r w:rsidRPr="00357DBC">
              <w:rPr>
                <w:rFonts w:ascii="Arial" w:hAnsi="Arial" w:cs="Arial"/>
                <w:bCs/>
                <w:lang w:val="en-ZA"/>
              </w:rPr>
              <w:t>Mobilise support for affected sectors and communities to restore livelihoods and economic functionality.</w:t>
            </w:r>
          </w:p>
          <w:p w14:paraId="27597505" w14:textId="09E6747E" w:rsidR="00357DBC" w:rsidRPr="00357DBC" w:rsidRDefault="00357DBC" w:rsidP="00357DBC">
            <w:pPr>
              <w:pStyle w:val="ListParagraph"/>
              <w:numPr>
                <w:ilvl w:val="0"/>
                <w:numId w:val="48"/>
              </w:numPr>
              <w:spacing w:line="360" w:lineRule="auto"/>
              <w:jc w:val="both"/>
              <w:rPr>
                <w:rFonts w:ascii="Arial" w:hAnsi="Arial" w:cs="Arial"/>
                <w:bCs/>
                <w:lang w:val="en-ZA"/>
              </w:rPr>
            </w:pPr>
            <w:r w:rsidRPr="00357DBC">
              <w:rPr>
                <w:rFonts w:ascii="Arial" w:hAnsi="Arial" w:cs="Arial"/>
                <w:bCs/>
                <w:lang w:val="en-ZA"/>
              </w:rPr>
              <w:t>Promote resilience and inclusive economic rebuilding in disaster-affected areas.</w:t>
            </w:r>
          </w:p>
          <w:p w14:paraId="2DEAFD82" w14:textId="77777777" w:rsidR="00357DBC" w:rsidRPr="00357DBC" w:rsidRDefault="00357DBC" w:rsidP="00357DBC">
            <w:pPr>
              <w:spacing w:line="360" w:lineRule="auto"/>
              <w:jc w:val="both"/>
              <w:rPr>
                <w:rFonts w:ascii="Arial" w:hAnsi="Arial" w:cs="Arial"/>
                <w:b/>
                <w:lang w:val="en-ZA"/>
              </w:rPr>
            </w:pPr>
            <w:r w:rsidRPr="00357DBC">
              <w:rPr>
                <w:rFonts w:ascii="Arial" w:hAnsi="Arial" w:cs="Arial"/>
                <w:b/>
                <w:lang w:val="en-ZA"/>
              </w:rPr>
              <w:t>Objectives of the Provincial Economic Recovery Workstream</w:t>
            </w:r>
          </w:p>
          <w:p w14:paraId="2B0C4303" w14:textId="43E57EC7" w:rsidR="00357DBC" w:rsidRPr="00357DBC" w:rsidRDefault="00357DBC" w:rsidP="00357DBC">
            <w:pPr>
              <w:pStyle w:val="ListParagraph"/>
              <w:numPr>
                <w:ilvl w:val="0"/>
                <w:numId w:val="49"/>
              </w:numPr>
              <w:spacing w:line="360" w:lineRule="auto"/>
              <w:jc w:val="both"/>
              <w:rPr>
                <w:rFonts w:ascii="Arial" w:hAnsi="Arial" w:cs="Arial"/>
                <w:bCs/>
                <w:lang w:val="en-ZA"/>
              </w:rPr>
            </w:pPr>
            <w:r w:rsidRPr="00357DBC">
              <w:rPr>
                <w:rFonts w:ascii="Arial" w:hAnsi="Arial" w:cs="Arial"/>
                <w:bCs/>
                <w:lang w:val="en-ZA"/>
              </w:rPr>
              <w:t>To assess and quantify economic damage and losses in affected areas.</w:t>
            </w:r>
          </w:p>
          <w:p w14:paraId="10739B51" w14:textId="15DC5778" w:rsidR="00357DBC" w:rsidRPr="00357DBC" w:rsidRDefault="00357DBC" w:rsidP="00357DBC">
            <w:pPr>
              <w:pStyle w:val="ListParagraph"/>
              <w:numPr>
                <w:ilvl w:val="0"/>
                <w:numId w:val="49"/>
              </w:numPr>
              <w:spacing w:line="360" w:lineRule="auto"/>
              <w:jc w:val="both"/>
              <w:rPr>
                <w:rFonts w:ascii="Arial" w:hAnsi="Arial" w:cs="Arial"/>
                <w:bCs/>
                <w:lang w:val="en-ZA"/>
              </w:rPr>
            </w:pPr>
            <w:r w:rsidRPr="00357DBC">
              <w:rPr>
                <w:rFonts w:ascii="Arial" w:hAnsi="Arial" w:cs="Arial"/>
                <w:bCs/>
                <w:lang w:val="en-ZA"/>
              </w:rPr>
              <w:t>To develop and coordinate short-, medium-, and long-term recovery plans.</w:t>
            </w:r>
          </w:p>
          <w:p w14:paraId="3E1A2201" w14:textId="261C82A6" w:rsidR="00357DBC" w:rsidRPr="00357DBC" w:rsidRDefault="00357DBC" w:rsidP="00357DBC">
            <w:pPr>
              <w:pStyle w:val="ListParagraph"/>
              <w:numPr>
                <w:ilvl w:val="0"/>
                <w:numId w:val="49"/>
              </w:numPr>
              <w:spacing w:line="360" w:lineRule="auto"/>
              <w:jc w:val="both"/>
              <w:rPr>
                <w:rFonts w:ascii="Arial" w:hAnsi="Arial" w:cs="Arial"/>
                <w:bCs/>
                <w:lang w:val="en-ZA"/>
              </w:rPr>
            </w:pPr>
            <w:r w:rsidRPr="00357DBC">
              <w:rPr>
                <w:rFonts w:ascii="Arial" w:hAnsi="Arial" w:cs="Arial"/>
                <w:bCs/>
                <w:lang w:val="en-ZA"/>
              </w:rPr>
              <w:t>To identify opportunities for support, funding, and resource mobilisation.</w:t>
            </w:r>
          </w:p>
          <w:p w14:paraId="58A17219" w14:textId="73FFB487" w:rsidR="00357DBC" w:rsidRDefault="00357DBC" w:rsidP="00357DBC">
            <w:pPr>
              <w:pStyle w:val="ListParagraph"/>
              <w:numPr>
                <w:ilvl w:val="0"/>
                <w:numId w:val="49"/>
              </w:numPr>
              <w:spacing w:line="360" w:lineRule="auto"/>
              <w:jc w:val="both"/>
              <w:rPr>
                <w:rFonts w:ascii="Arial" w:hAnsi="Arial" w:cs="Arial"/>
                <w:bCs/>
                <w:lang w:val="en-ZA"/>
              </w:rPr>
            </w:pPr>
            <w:r w:rsidRPr="00357DBC">
              <w:rPr>
                <w:rFonts w:ascii="Arial" w:hAnsi="Arial" w:cs="Arial"/>
                <w:bCs/>
                <w:lang w:val="en-ZA"/>
              </w:rPr>
              <w:t>To monitor implementation and provide oversight on recovery efforts.</w:t>
            </w:r>
          </w:p>
          <w:p w14:paraId="6CF92180" w14:textId="77777777" w:rsidR="00357DBC" w:rsidRPr="00357DBC" w:rsidRDefault="00357DBC" w:rsidP="00357DBC">
            <w:pPr>
              <w:pStyle w:val="ListParagraph"/>
              <w:spacing w:line="360" w:lineRule="auto"/>
              <w:jc w:val="both"/>
              <w:rPr>
                <w:rFonts w:ascii="Arial" w:hAnsi="Arial" w:cs="Arial"/>
                <w:bCs/>
                <w:lang w:val="en-ZA"/>
              </w:rPr>
            </w:pPr>
          </w:p>
          <w:p w14:paraId="2EE401E1" w14:textId="2C87287B" w:rsidR="00357DBC" w:rsidRPr="005041D9" w:rsidRDefault="00357DBC" w:rsidP="00357DBC">
            <w:pPr>
              <w:spacing w:line="360" w:lineRule="auto"/>
              <w:jc w:val="both"/>
              <w:rPr>
                <w:rFonts w:ascii="Arial" w:hAnsi="Arial" w:cs="Arial"/>
                <w:bCs/>
                <w:lang w:val="en-ZA"/>
              </w:rPr>
            </w:pPr>
            <w:r w:rsidRPr="00357DBC">
              <w:rPr>
                <w:rFonts w:ascii="Arial" w:hAnsi="Arial" w:cs="Arial"/>
                <w:bCs/>
                <w:lang w:val="en-ZA"/>
              </w:rPr>
              <w:lastRenderedPageBreak/>
              <w:t xml:space="preserve">Continued support to small and youth businesses in the form of procurement budget spent. </w:t>
            </w:r>
          </w:p>
        </w:tc>
      </w:tr>
    </w:tbl>
    <w:p w14:paraId="38724DDF" w14:textId="77777777" w:rsidR="00056BEB" w:rsidRDefault="00056BEB" w:rsidP="005041D9">
      <w:pPr>
        <w:tabs>
          <w:tab w:val="left" w:pos="7440"/>
        </w:tabs>
        <w:spacing w:line="360" w:lineRule="auto"/>
        <w:jc w:val="both"/>
        <w:rPr>
          <w:rFonts w:ascii="Arial" w:hAnsi="Arial" w:cs="Arial"/>
          <w:b/>
          <w:bCs/>
        </w:rPr>
      </w:pPr>
    </w:p>
    <w:p w14:paraId="0174DCD2" w14:textId="77777777" w:rsidR="00056BEB" w:rsidRDefault="00056BEB" w:rsidP="005041D9">
      <w:pPr>
        <w:tabs>
          <w:tab w:val="left" w:pos="7440"/>
        </w:tabs>
        <w:spacing w:line="360" w:lineRule="auto"/>
        <w:jc w:val="both"/>
        <w:rPr>
          <w:rFonts w:ascii="Arial" w:hAnsi="Arial" w:cs="Arial"/>
          <w:b/>
          <w:bCs/>
        </w:rPr>
      </w:pPr>
    </w:p>
    <w:p w14:paraId="14B6AF0E" w14:textId="77777777" w:rsidR="00056BEB" w:rsidRDefault="00056BEB" w:rsidP="005041D9">
      <w:pPr>
        <w:tabs>
          <w:tab w:val="left" w:pos="7440"/>
        </w:tabs>
        <w:spacing w:line="360" w:lineRule="auto"/>
        <w:jc w:val="both"/>
        <w:rPr>
          <w:rFonts w:ascii="Arial" w:hAnsi="Arial" w:cs="Arial"/>
          <w:b/>
          <w:bCs/>
        </w:rPr>
      </w:pPr>
    </w:p>
    <w:p w14:paraId="5858475C" w14:textId="77777777" w:rsidR="00056BEB" w:rsidRDefault="00056BEB" w:rsidP="005041D9">
      <w:pPr>
        <w:tabs>
          <w:tab w:val="left" w:pos="7440"/>
        </w:tabs>
        <w:spacing w:line="360" w:lineRule="auto"/>
        <w:jc w:val="both"/>
        <w:rPr>
          <w:rFonts w:ascii="Arial" w:hAnsi="Arial" w:cs="Arial"/>
          <w:b/>
          <w:bCs/>
        </w:rPr>
      </w:pPr>
    </w:p>
    <w:p w14:paraId="6B070E21" w14:textId="77777777" w:rsidR="00056BEB" w:rsidRDefault="00056BEB" w:rsidP="005041D9">
      <w:pPr>
        <w:tabs>
          <w:tab w:val="left" w:pos="7440"/>
        </w:tabs>
        <w:spacing w:line="360" w:lineRule="auto"/>
        <w:jc w:val="both"/>
        <w:rPr>
          <w:rFonts w:ascii="Arial" w:hAnsi="Arial" w:cs="Arial"/>
          <w:b/>
          <w:bCs/>
        </w:rPr>
      </w:pPr>
    </w:p>
    <w:p w14:paraId="490C2111" w14:textId="77777777" w:rsidR="00056BEB" w:rsidRDefault="00056BEB" w:rsidP="005041D9">
      <w:pPr>
        <w:tabs>
          <w:tab w:val="left" w:pos="7440"/>
        </w:tabs>
        <w:spacing w:line="360" w:lineRule="auto"/>
        <w:jc w:val="both"/>
        <w:rPr>
          <w:rFonts w:ascii="Arial" w:hAnsi="Arial" w:cs="Arial"/>
          <w:b/>
          <w:bCs/>
        </w:rPr>
      </w:pPr>
    </w:p>
    <w:p w14:paraId="27057E1E" w14:textId="77777777" w:rsidR="00056BEB" w:rsidRDefault="00056BEB" w:rsidP="005041D9">
      <w:pPr>
        <w:tabs>
          <w:tab w:val="left" w:pos="7440"/>
        </w:tabs>
        <w:spacing w:line="360" w:lineRule="auto"/>
        <w:jc w:val="both"/>
        <w:rPr>
          <w:rFonts w:ascii="Arial" w:hAnsi="Arial" w:cs="Arial"/>
          <w:b/>
          <w:bCs/>
        </w:rPr>
      </w:pPr>
    </w:p>
    <w:p w14:paraId="34E7E0D6" w14:textId="77777777" w:rsidR="00056BEB" w:rsidRDefault="00056BEB" w:rsidP="005041D9">
      <w:pPr>
        <w:tabs>
          <w:tab w:val="left" w:pos="7440"/>
        </w:tabs>
        <w:spacing w:line="360" w:lineRule="auto"/>
        <w:jc w:val="both"/>
        <w:rPr>
          <w:rFonts w:ascii="Arial" w:hAnsi="Arial" w:cs="Arial"/>
          <w:b/>
          <w:bCs/>
        </w:rPr>
      </w:pPr>
    </w:p>
    <w:p w14:paraId="7DEDFA02" w14:textId="77777777" w:rsidR="00056BEB" w:rsidRDefault="00056BEB" w:rsidP="005041D9">
      <w:pPr>
        <w:tabs>
          <w:tab w:val="left" w:pos="7440"/>
        </w:tabs>
        <w:spacing w:line="360" w:lineRule="auto"/>
        <w:jc w:val="both"/>
        <w:rPr>
          <w:rFonts w:ascii="Arial" w:hAnsi="Arial" w:cs="Arial"/>
          <w:b/>
          <w:bCs/>
        </w:rPr>
      </w:pPr>
    </w:p>
    <w:p w14:paraId="7D73BC54" w14:textId="77777777" w:rsidR="00056BEB" w:rsidRDefault="00056BEB" w:rsidP="005041D9">
      <w:pPr>
        <w:tabs>
          <w:tab w:val="left" w:pos="7440"/>
        </w:tabs>
        <w:spacing w:line="360" w:lineRule="auto"/>
        <w:jc w:val="both"/>
        <w:rPr>
          <w:rFonts w:ascii="Arial" w:hAnsi="Arial" w:cs="Arial"/>
          <w:b/>
          <w:bCs/>
        </w:rPr>
      </w:pPr>
    </w:p>
    <w:p w14:paraId="74A1E72D" w14:textId="77777777" w:rsidR="00056BEB" w:rsidRDefault="00056BEB" w:rsidP="005041D9">
      <w:pPr>
        <w:tabs>
          <w:tab w:val="left" w:pos="7440"/>
        </w:tabs>
        <w:spacing w:line="360" w:lineRule="auto"/>
        <w:jc w:val="both"/>
        <w:rPr>
          <w:rFonts w:ascii="Arial" w:hAnsi="Arial" w:cs="Arial"/>
          <w:b/>
          <w:bCs/>
        </w:rPr>
      </w:pPr>
    </w:p>
    <w:p w14:paraId="543C6BC2" w14:textId="77777777" w:rsidR="00056BEB" w:rsidRDefault="00056BEB" w:rsidP="005041D9">
      <w:pPr>
        <w:tabs>
          <w:tab w:val="left" w:pos="7440"/>
        </w:tabs>
        <w:spacing w:line="360" w:lineRule="auto"/>
        <w:jc w:val="both"/>
        <w:rPr>
          <w:rFonts w:ascii="Arial" w:hAnsi="Arial" w:cs="Arial"/>
          <w:b/>
          <w:bCs/>
        </w:rPr>
      </w:pPr>
    </w:p>
    <w:p w14:paraId="46A26167" w14:textId="77777777" w:rsidR="00056BEB" w:rsidRDefault="00056BEB" w:rsidP="005041D9">
      <w:pPr>
        <w:tabs>
          <w:tab w:val="left" w:pos="7440"/>
        </w:tabs>
        <w:spacing w:line="360" w:lineRule="auto"/>
        <w:jc w:val="both"/>
        <w:rPr>
          <w:rFonts w:ascii="Arial" w:hAnsi="Arial" w:cs="Arial"/>
          <w:b/>
          <w:bCs/>
        </w:rPr>
      </w:pPr>
    </w:p>
    <w:sectPr w:rsidR="00056BEB" w:rsidSect="0077509A">
      <w:headerReference w:type="default" r:id="rId7"/>
      <w:footerReference w:type="even" r:id="rId8"/>
      <w:footerReference w:type="default" r:id="rId9"/>
      <w:headerReference w:type="first" r:id="rId10"/>
      <w:type w:val="continuous"/>
      <w:pgSz w:w="11900" w:h="16840"/>
      <w:pgMar w:top="851" w:right="851" w:bottom="1814" w:left="2381" w:header="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E0331" w14:textId="77777777" w:rsidR="00976C53" w:rsidRDefault="00976C53">
      <w:pPr>
        <w:spacing w:after="0"/>
      </w:pPr>
      <w:r>
        <w:separator/>
      </w:r>
    </w:p>
  </w:endnote>
  <w:endnote w:type="continuationSeparator" w:id="0">
    <w:p w14:paraId="2863036C" w14:textId="77777777" w:rsidR="00976C53" w:rsidRDefault="00976C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BE626" w14:textId="360EBF6F" w:rsidR="00005800" w:rsidRDefault="00005800" w:rsidP="001C2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41D9">
      <w:rPr>
        <w:rStyle w:val="PageNumber"/>
        <w:noProof/>
      </w:rPr>
      <w:t>1</w:t>
    </w:r>
    <w:r>
      <w:rPr>
        <w:rStyle w:val="PageNumber"/>
      </w:rPr>
      <w:fldChar w:fldCharType="end"/>
    </w:r>
  </w:p>
  <w:p w14:paraId="43893345" w14:textId="77777777" w:rsidR="00005800" w:rsidRDefault="0000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F708" w14:textId="77777777" w:rsidR="00005800" w:rsidRPr="003C0466" w:rsidRDefault="00005800" w:rsidP="001C2CA4">
    <w:pPr>
      <w:pStyle w:val="Footer"/>
      <w:framePr w:wrap="around" w:vAnchor="text" w:hAnchor="margin" w:xAlign="center" w:y="1"/>
      <w:rPr>
        <w:rStyle w:val="PageNumber"/>
      </w:rPr>
    </w:pPr>
    <w:r w:rsidRPr="003C0466">
      <w:rPr>
        <w:rStyle w:val="PageNumber"/>
      </w:rPr>
      <w:fldChar w:fldCharType="begin"/>
    </w:r>
    <w:r w:rsidRPr="003C0466">
      <w:rPr>
        <w:rStyle w:val="PageNumber"/>
      </w:rPr>
      <w:instrText xml:space="preserve">PAGE  </w:instrText>
    </w:r>
    <w:r w:rsidRPr="003C0466">
      <w:rPr>
        <w:rStyle w:val="PageNumber"/>
      </w:rPr>
      <w:fldChar w:fldCharType="separate"/>
    </w:r>
    <w:r>
      <w:rPr>
        <w:rStyle w:val="PageNumber"/>
        <w:noProof/>
      </w:rPr>
      <w:t>2</w:t>
    </w:r>
    <w:r w:rsidRPr="003C0466">
      <w:rPr>
        <w:rStyle w:val="PageNumber"/>
      </w:rPr>
      <w:fldChar w:fldCharType="end"/>
    </w:r>
  </w:p>
  <w:p w14:paraId="0AD5C92C" w14:textId="77777777" w:rsidR="00005800" w:rsidRPr="006715E7" w:rsidRDefault="00005800">
    <w:pPr>
      <w:pStyle w:val="Footer"/>
      <w:rPr>
        <w:rFonts w:ascii="Arial" w:hAnsi="Arial"/>
        <w:color w:val="404040"/>
        <w:sz w:val="16"/>
      </w:rPr>
    </w:pPr>
    <w:r>
      <w:rPr>
        <w:rFonts w:ascii="Arial" w:hAnsi="Arial"/>
        <w:noProof/>
        <w:color w:val="404040"/>
        <w:sz w:val="16"/>
        <w:lang w:val="en-US" w:eastAsia="en-US"/>
      </w:rPr>
      <w:drawing>
        <wp:anchor distT="0" distB="0" distL="114300" distR="114300" simplePos="0" relativeHeight="251658241" behindDoc="1" locked="0" layoutInCell="1" allowOverlap="1" wp14:anchorId="322625AB" wp14:editId="7C7FD381">
          <wp:simplePos x="0" y="0"/>
          <wp:positionH relativeFrom="column">
            <wp:posOffset>-1574800</wp:posOffset>
          </wp:positionH>
          <wp:positionV relativeFrom="paragraph">
            <wp:posOffset>-367030</wp:posOffset>
          </wp:positionV>
          <wp:extent cx="6548120" cy="767080"/>
          <wp:effectExtent l="0" t="0" r="5080" b="0"/>
          <wp:wrapNone/>
          <wp:docPr id="13155091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t="57660"/>
                  <a:stretch>
                    <a:fillRect/>
                  </a:stretch>
                </pic:blipFill>
                <pic:spPr bwMode="auto">
                  <a:xfrm>
                    <a:off x="0" y="0"/>
                    <a:ext cx="6548120" cy="7670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81C9B" w14:textId="77777777" w:rsidR="00976C53" w:rsidRDefault="00976C53">
      <w:pPr>
        <w:spacing w:after="0"/>
      </w:pPr>
      <w:r>
        <w:separator/>
      </w:r>
    </w:p>
  </w:footnote>
  <w:footnote w:type="continuationSeparator" w:id="0">
    <w:p w14:paraId="4CDA3DF9" w14:textId="77777777" w:rsidR="00976C53" w:rsidRDefault="00976C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B4C2" w14:textId="77777777" w:rsidR="005300C5" w:rsidRDefault="005300C5" w:rsidP="005300C5">
    <w:pPr>
      <w:spacing w:line="360" w:lineRule="auto"/>
      <w:ind w:left="-774" w:hanging="360"/>
      <w:jc w:val="both"/>
      <w:rPr>
        <w:rFonts w:ascii="Arial" w:hAnsi="Arial" w:cs="Arial"/>
        <w:b/>
        <w:bCs/>
      </w:rPr>
    </w:pPr>
  </w:p>
  <w:p w14:paraId="5BB5E524" w14:textId="4D61F67B" w:rsidR="005300C5" w:rsidRPr="005300C5" w:rsidRDefault="005300C5" w:rsidP="005300C5">
    <w:pPr>
      <w:spacing w:line="360" w:lineRule="auto"/>
      <w:ind w:left="-774" w:hanging="360"/>
      <w:jc w:val="both"/>
      <w:rPr>
        <w:rFonts w:ascii="Arial" w:hAnsi="Arial" w:cs="Arial"/>
        <w:b/>
        <w:bCs/>
      </w:rPr>
    </w:pPr>
    <w:r w:rsidRPr="005300C5">
      <w:rPr>
        <w:rFonts w:ascii="Arial" w:hAnsi="Arial" w:cs="Arial"/>
        <w:b/>
        <w:bCs/>
      </w:rPr>
      <w:t>RESPONSES ON IQP 7 – ORAL QUESTIONS TO THE PREMIER</w:t>
    </w:r>
  </w:p>
  <w:p w14:paraId="7E65BE63" w14:textId="77777777" w:rsidR="005300C5" w:rsidRPr="005300C5" w:rsidRDefault="005300C5" w:rsidP="005300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02E6" w14:textId="77777777" w:rsidR="005300C5" w:rsidRDefault="005300C5" w:rsidP="005300C5">
    <w:pPr>
      <w:spacing w:line="360" w:lineRule="auto"/>
      <w:ind w:left="-774" w:hanging="360"/>
      <w:jc w:val="both"/>
      <w:rPr>
        <w:rFonts w:ascii="Arial" w:hAnsi="Arial" w:cs="Arial"/>
        <w:b/>
        <w:bCs/>
        <w:sz w:val="32"/>
        <w:szCs w:val="32"/>
      </w:rPr>
    </w:pPr>
  </w:p>
  <w:p w14:paraId="0EB66BEC" w14:textId="6C9F3E5A" w:rsidR="005300C5" w:rsidRPr="005300C5" w:rsidRDefault="005300C5" w:rsidP="005300C5">
    <w:pPr>
      <w:spacing w:line="360" w:lineRule="auto"/>
      <w:ind w:left="-774" w:hanging="360"/>
      <w:jc w:val="both"/>
      <w:rPr>
        <w:rFonts w:ascii="Arial" w:hAnsi="Arial" w:cs="Arial"/>
        <w:b/>
        <w:bCs/>
      </w:rPr>
    </w:pPr>
    <w:r w:rsidRPr="005300C5">
      <w:rPr>
        <w:rFonts w:ascii="Arial" w:hAnsi="Arial" w:cs="Arial"/>
        <w:b/>
        <w:bCs/>
      </w:rPr>
      <w:t>RESPONSES ON IQP 7 – ORAL QUESTIONS TO THE PREMIER</w:t>
    </w:r>
  </w:p>
  <w:p w14:paraId="10AE81FA" w14:textId="77777777" w:rsidR="005300C5" w:rsidRDefault="00530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13B0"/>
    <w:multiLevelType w:val="hybridMultilevel"/>
    <w:tmpl w:val="FFFFFFFF"/>
    <w:lvl w:ilvl="0" w:tplc="C72A177C">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 w15:restartNumberingAfterBreak="0">
    <w:nsid w:val="06F3557B"/>
    <w:multiLevelType w:val="hybridMultilevel"/>
    <w:tmpl w:val="773816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8B1BA9"/>
    <w:multiLevelType w:val="hybridMultilevel"/>
    <w:tmpl w:val="471EDAEA"/>
    <w:lvl w:ilvl="0" w:tplc="4C1E9492">
      <w:start w:val="1"/>
      <w:numFmt w:val="decimal"/>
      <w:lvlText w:val="%1)"/>
      <w:lvlJc w:val="left"/>
      <w:pPr>
        <w:ind w:left="720" w:hanging="360"/>
      </w:pPr>
      <w:rPr>
        <w:b w:val="0"/>
      </w:rPr>
    </w:lvl>
    <w:lvl w:ilvl="1" w:tplc="79C87790">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AE76077"/>
    <w:multiLevelType w:val="hybridMultilevel"/>
    <w:tmpl w:val="D9E8398A"/>
    <w:lvl w:ilvl="0" w:tplc="60B4694A">
      <w:start w:val="3"/>
      <w:numFmt w:val="decimal"/>
      <w:lvlText w:val="%1."/>
      <w:lvlJc w:val="left"/>
      <w:pPr>
        <w:ind w:left="0" w:firstLine="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645C3C"/>
    <w:multiLevelType w:val="hybridMultilevel"/>
    <w:tmpl w:val="A7561840"/>
    <w:lvl w:ilvl="0" w:tplc="BD18D5EA">
      <w:start w:val="1"/>
      <w:numFmt w:val="bullet"/>
      <w:lvlText w:val="•"/>
      <w:lvlJc w:val="left"/>
      <w:pPr>
        <w:tabs>
          <w:tab w:val="num" w:pos="360"/>
        </w:tabs>
        <w:ind w:left="0" w:firstLine="0"/>
      </w:pPr>
      <w:rPr>
        <w:rFonts w:ascii="Arial" w:hAnsi="Arial" w:hint="default"/>
      </w:rPr>
    </w:lvl>
    <w:lvl w:ilvl="1" w:tplc="BD1C95F0">
      <w:numFmt w:val="bullet"/>
      <w:lvlText w:val="–"/>
      <w:lvlJc w:val="left"/>
      <w:pPr>
        <w:tabs>
          <w:tab w:val="num" w:pos="1080"/>
        </w:tabs>
        <w:ind w:left="1080" w:hanging="360"/>
      </w:pPr>
      <w:rPr>
        <w:rFonts w:ascii="Arial" w:hAnsi="Arial" w:cs="Times New Roman" w:hint="default"/>
      </w:rPr>
    </w:lvl>
    <w:lvl w:ilvl="2" w:tplc="B1A80684">
      <w:start w:val="1"/>
      <w:numFmt w:val="bullet"/>
      <w:lvlText w:val="•"/>
      <w:lvlJc w:val="left"/>
      <w:pPr>
        <w:tabs>
          <w:tab w:val="num" w:pos="1800"/>
        </w:tabs>
        <w:ind w:left="1800" w:hanging="360"/>
      </w:pPr>
      <w:rPr>
        <w:rFonts w:ascii="Arial" w:hAnsi="Arial" w:cs="Times New Roman" w:hint="default"/>
      </w:rPr>
    </w:lvl>
    <w:lvl w:ilvl="3" w:tplc="64741D42">
      <w:start w:val="1"/>
      <w:numFmt w:val="bullet"/>
      <w:lvlText w:val="•"/>
      <w:lvlJc w:val="left"/>
      <w:pPr>
        <w:tabs>
          <w:tab w:val="num" w:pos="2520"/>
        </w:tabs>
        <w:ind w:left="2520" w:hanging="360"/>
      </w:pPr>
      <w:rPr>
        <w:rFonts w:ascii="Arial" w:hAnsi="Arial" w:cs="Times New Roman" w:hint="default"/>
      </w:rPr>
    </w:lvl>
    <w:lvl w:ilvl="4" w:tplc="BA1693DC">
      <w:start w:val="1"/>
      <w:numFmt w:val="bullet"/>
      <w:lvlText w:val="•"/>
      <w:lvlJc w:val="left"/>
      <w:pPr>
        <w:tabs>
          <w:tab w:val="num" w:pos="3240"/>
        </w:tabs>
        <w:ind w:left="3240" w:hanging="360"/>
      </w:pPr>
      <w:rPr>
        <w:rFonts w:ascii="Arial" w:hAnsi="Arial" w:cs="Times New Roman" w:hint="default"/>
      </w:rPr>
    </w:lvl>
    <w:lvl w:ilvl="5" w:tplc="D2F6D3C4">
      <w:start w:val="1"/>
      <w:numFmt w:val="bullet"/>
      <w:lvlText w:val="•"/>
      <w:lvlJc w:val="left"/>
      <w:pPr>
        <w:tabs>
          <w:tab w:val="num" w:pos="3960"/>
        </w:tabs>
        <w:ind w:left="3960" w:hanging="360"/>
      </w:pPr>
      <w:rPr>
        <w:rFonts w:ascii="Arial" w:hAnsi="Arial" w:cs="Times New Roman" w:hint="default"/>
      </w:rPr>
    </w:lvl>
    <w:lvl w:ilvl="6" w:tplc="9370963E">
      <w:start w:val="1"/>
      <w:numFmt w:val="bullet"/>
      <w:lvlText w:val="•"/>
      <w:lvlJc w:val="left"/>
      <w:pPr>
        <w:tabs>
          <w:tab w:val="num" w:pos="4680"/>
        </w:tabs>
        <w:ind w:left="4680" w:hanging="360"/>
      </w:pPr>
      <w:rPr>
        <w:rFonts w:ascii="Arial" w:hAnsi="Arial" w:cs="Times New Roman" w:hint="default"/>
      </w:rPr>
    </w:lvl>
    <w:lvl w:ilvl="7" w:tplc="54B4F120">
      <w:start w:val="1"/>
      <w:numFmt w:val="bullet"/>
      <w:lvlText w:val="•"/>
      <w:lvlJc w:val="left"/>
      <w:pPr>
        <w:tabs>
          <w:tab w:val="num" w:pos="5400"/>
        </w:tabs>
        <w:ind w:left="5400" w:hanging="360"/>
      </w:pPr>
      <w:rPr>
        <w:rFonts w:ascii="Arial" w:hAnsi="Arial" w:cs="Times New Roman" w:hint="default"/>
      </w:rPr>
    </w:lvl>
    <w:lvl w:ilvl="8" w:tplc="085067EC">
      <w:start w:val="1"/>
      <w:numFmt w:val="bullet"/>
      <w:lvlText w:val="•"/>
      <w:lvlJc w:val="left"/>
      <w:pPr>
        <w:tabs>
          <w:tab w:val="num" w:pos="6120"/>
        </w:tabs>
        <w:ind w:left="6120" w:hanging="360"/>
      </w:pPr>
      <w:rPr>
        <w:rFonts w:ascii="Arial" w:hAnsi="Arial" w:cs="Times New Roman" w:hint="default"/>
      </w:rPr>
    </w:lvl>
  </w:abstractNum>
  <w:abstractNum w:abstractNumId="5" w15:restartNumberingAfterBreak="0">
    <w:nsid w:val="12CF368D"/>
    <w:multiLevelType w:val="hybridMultilevel"/>
    <w:tmpl w:val="C1DA6DF0"/>
    <w:lvl w:ilvl="0" w:tplc="DD98BFA8">
      <w:start w:val="1"/>
      <w:numFmt w:val="lowerLetter"/>
      <w:lvlText w:val="(%1)"/>
      <w:lvlJc w:val="left"/>
      <w:pPr>
        <w:ind w:left="0" w:firstLine="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5243058"/>
    <w:multiLevelType w:val="hybridMultilevel"/>
    <w:tmpl w:val="5FC43560"/>
    <w:lvl w:ilvl="0" w:tplc="E66A1626">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C5E65"/>
    <w:multiLevelType w:val="hybridMultilevel"/>
    <w:tmpl w:val="C27CC50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6DB05A5"/>
    <w:multiLevelType w:val="multilevel"/>
    <w:tmpl w:val="FFFFFFFF"/>
    <w:lvl w:ilvl="0">
      <w:start w:val="1"/>
      <w:numFmt w:val="decimal"/>
      <w:lvlText w:val="(%1)"/>
      <w:lvlJc w:val="left"/>
      <w:pPr>
        <w:tabs>
          <w:tab w:val="num" w:pos="720"/>
        </w:tabs>
        <w:ind w:left="720" w:hanging="360"/>
      </w:pPr>
      <w:rPr>
        <w:rFonts w:cs="Times New Roman"/>
        <w:b w:val="0"/>
        <w:bCs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17387D9B"/>
    <w:multiLevelType w:val="hybridMultilevel"/>
    <w:tmpl w:val="56EE3B64"/>
    <w:lvl w:ilvl="0" w:tplc="68B68FBA">
      <w:start w:val="1"/>
      <w:numFmt w:val="bullet"/>
      <w:lvlText w:val=""/>
      <w:lvlJc w:val="left"/>
      <w:pPr>
        <w:ind w:left="0" w:firstLine="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7710A4C"/>
    <w:multiLevelType w:val="hybridMultilevel"/>
    <w:tmpl w:val="7B74A448"/>
    <w:lvl w:ilvl="0" w:tplc="FE4EBD7C">
      <w:start w:val="1"/>
      <w:numFmt w:val="bullet"/>
      <w:lvlText w:val=""/>
      <w:lvlJc w:val="left"/>
      <w:pPr>
        <w:ind w:left="0" w:firstLine="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1A613E71"/>
    <w:multiLevelType w:val="hybridMultilevel"/>
    <w:tmpl w:val="480A144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6746C8"/>
    <w:multiLevelType w:val="hybridMultilevel"/>
    <w:tmpl w:val="3026A3B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FA377AC"/>
    <w:multiLevelType w:val="hybridMultilevel"/>
    <w:tmpl w:val="480A144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FB55AD"/>
    <w:multiLevelType w:val="hybridMultilevel"/>
    <w:tmpl w:val="95206186"/>
    <w:lvl w:ilvl="0" w:tplc="1D7EEB86">
      <w:start w:val="1"/>
      <w:numFmt w:val="decimal"/>
      <w:lvlText w:val="%1)"/>
      <w:lvlJc w:val="left"/>
      <w:pPr>
        <w:ind w:left="0" w:firstLine="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2490DE8"/>
    <w:multiLevelType w:val="hybridMultilevel"/>
    <w:tmpl w:val="C5DE922C"/>
    <w:lvl w:ilvl="0" w:tplc="36B89C28">
      <w:start w:val="1"/>
      <w:numFmt w:val="decimal"/>
      <w:lvlText w:val="%1."/>
      <w:lvlJc w:val="left"/>
      <w:pPr>
        <w:ind w:left="0" w:firstLine="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520741"/>
    <w:multiLevelType w:val="hybridMultilevel"/>
    <w:tmpl w:val="2A3CA41A"/>
    <w:lvl w:ilvl="0" w:tplc="453A27D0">
      <w:start w:val="1"/>
      <w:numFmt w:val="lowerLetter"/>
      <w:lvlText w:val="%1)"/>
      <w:lvlJc w:val="left"/>
      <w:pPr>
        <w:ind w:left="0" w:firstLine="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C16009E"/>
    <w:multiLevelType w:val="hybridMultilevel"/>
    <w:tmpl w:val="5D82B922"/>
    <w:lvl w:ilvl="0" w:tplc="FA32DAAA">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C7009D"/>
    <w:multiLevelType w:val="hybridMultilevel"/>
    <w:tmpl w:val="F00C9450"/>
    <w:lvl w:ilvl="0" w:tplc="1D383F16">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BB2070"/>
    <w:multiLevelType w:val="hybridMultilevel"/>
    <w:tmpl w:val="EFC4CB96"/>
    <w:lvl w:ilvl="0" w:tplc="EF4252FC">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346A7E"/>
    <w:multiLevelType w:val="hybridMultilevel"/>
    <w:tmpl w:val="6B922444"/>
    <w:lvl w:ilvl="0" w:tplc="07D6141C">
      <w:start w:val="1"/>
      <w:numFmt w:val="decimal"/>
      <w:lvlText w:val="%1)"/>
      <w:lvlJc w:val="left"/>
      <w:pPr>
        <w:ind w:left="0" w:firstLine="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B892CF5"/>
    <w:multiLevelType w:val="hybridMultilevel"/>
    <w:tmpl w:val="0DB07DAE"/>
    <w:lvl w:ilvl="0" w:tplc="AA9CB382">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2" w15:restartNumberingAfterBreak="0">
    <w:nsid w:val="3D8F516C"/>
    <w:multiLevelType w:val="hybridMultilevel"/>
    <w:tmpl w:val="1112620E"/>
    <w:lvl w:ilvl="0" w:tplc="C31A5E96">
      <w:start w:val="1"/>
      <w:numFmt w:val="bullet"/>
      <w:lvlText w:val=""/>
      <w:lvlJc w:val="left"/>
      <w:pPr>
        <w:ind w:left="0" w:firstLine="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1713D51"/>
    <w:multiLevelType w:val="hybridMultilevel"/>
    <w:tmpl w:val="5AA603CE"/>
    <w:lvl w:ilvl="0" w:tplc="E2FECA6C">
      <w:start w:val="1"/>
      <w:numFmt w:val="lowerLetter"/>
      <w:lvlText w:val="(%1)"/>
      <w:lvlJc w:val="left"/>
      <w:pPr>
        <w:ind w:left="360" w:hanging="360"/>
      </w:pPr>
      <w:rPr>
        <w:rFonts w:hint="default"/>
      </w:rPr>
    </w:lvl>
    <w:lvl w:ilvl="1" w:tplc="6D3E4B98">
      <w:numFmt w:val="bullet"/>
      <w:lvlText w:val="•"/>
      <w:lvlJc w:val="left"/>
      <w:pPr>
        <w:ind w:left="1080" w:hanging="360"/>
      </w:pPr>
      <w:rPr>
        <w:rFonts w:ascii="Arial" w:eastAsia="Cambria" w:hAnsi="Arial" w:cs="Arial"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44181DC5"/>
    <w:multiLevelType w:val="hybridMultilevel"/>
    <w:tmpl w:val="35DA4B78"/>
    <w:lvl w:ilvl="0" w:tplc="168678F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B97B6B"/>
    <w:multiLevelType w:val="hybridMultilevel"/>
    <w:tmpl w:val="A7C6C4D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49A86ED2"/>
    <w:multiLevelType w:val="hybridMultilevel"/>
    <w:tmpl w:val="C2F47EA2"/>
    <w:lvl w:ilvl="0" w:tplc="B7FCD406">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FB43C2"/>
    <w:multiLevelType w:val="hybridMultilevel"/>
    <w:tmpl w:val="007A9B04"/>
    <w:lvl w:ilvl="0" w:tplc="D740351C">
      <w:start w:val="2"/>
      <w:numFmt w:val="decimal"/>
      <w:lvlText w:val="%1."/>
      <w:lvlJc w:val="left"/>
      <w:pPr>
        <w:ind w:left="-774" w:hanging="360"/>
      </w:pPr>
      <w:rPr>
        <w:rFonts w:hint="default"/>
      </w:rPr>
    </w:lvl>
    <w:lvl w:ilvl="1" w:tplc="1C090019" w:tentative="1">
      <w:start w:val="1"/>
      <w:numFmt w:val="lowerLetter"/>
      <w:lvlText w:val="%2."/>
      <w:lvlJc w:val="left"/>
      <w:pPr>
        <w:ind w:left="-54" w:hanging="360"/>
      </w:pPr>
    </w:lvl>
    <w:lvl w:ilvl="2" w:tplc="1C09001B" w:tentative="1">
      <w:start w:val="1"/>
      <w:numFmt w:val="lowerRoman"/>
      <w:lvlText w:val="%3."/>
      <w:lvlJc w:val="right"/>
      <w:pPr>
        <w:ind w:left="666" w:hanging="180"/>
      </w:pPr>
    </w:lvl>
    <w:lvl w:ilvl="3" w:tplc="1C09000F" w:tentative="1">
      <w:start w:val="1"/>
      <w:numFmt w:val="decimal"/>
      <w:lvlText w:val="%4."/>
      <w:lvlJc w:val="left"/>
      <w:pPr>
        <w:ind w:left="1386" w:hanging="360"/>
      </w:pPr>
    </w:lvl>
    <w:lvl w:ilvl="4" w:tplc="1C090019" w:tentative="1">
      <w:start w:val="1"/>
      <w:numFmt w:val="lowerLetter"/>
      <w:lvlText w:val="%5."/>
      <w:lvlJc w:val="left"/>
      <w:pPr>
        <w:ind w:left="2106" w:hanging="360"/>
      </w:pPr>
    </w:lvl>
    <w:lvl w:ilvl="5" w:tplc="1C09001B" w:tentative="1">
      <w:start w:val="1"/>
      <w:numFmt w:val="lowerRoman"/>
      <w:lvlText w:val="%6."/>
      <w:lvlJc w:val="right"/>
      <w:pPr>
        <w:ind w:left="2826" w:hanging="180"/>
      </w:pPr>
    </w:lvl>
    <w:lvl w:ilvl="6" w:tplc="1C09000F" w:tentative="1">
      <w:start w:val="1"/>
      <w:numFmt w:val="decimal"/>
      <w:lvlText w:val="%7."/>
      <w:lvlJc w:val="left"/>
      <w:pPr>
        <w:ind w:left="3546" w:hanging="360"/>
      </w:pPr>
    </w:lvl>
    <w:lvl w:ilvl="7" w:tplc="1C090019" w:tentative="1">
      <w:start w:val="1"/>
      <w:numFmt w:val="lowerLetter"/>
      <w:lvlText w:val="%8."/>
      <w:lvlJc w:val="left"/>
      <w:pPr>
        <w:ind w:left="4266" w:hanging="360"/>
      </w:pPr>
    </w:lvl>
    <w:lvl w:ilvl="8" w:tplc="1C09001B" w:tentative="1">
      <w:start w:val="1"/>
      <w:numFmt w:val="lowerRoman"/>
      <w:lvlText w:val="%9."/>
      <w:lvlJc w:val="right"/>
      <w:pPr>
        <w:ind w:left="4986" w:hanging="180"/>
      </w:pPr>
    </w:lvl>
  </w:abstractNum>
  <w:abstractNum w:abstractNumId="28" w15:restartNumberingAfterBreak="0">
    <w:nsid w:val="4B8626EF"/>
    <w:multiLevelType w:val="hybridMultilevel"/>
    <w:tmpl w:val="F3FE14CE"/>
    <w:lvl w:ilvl="0" w:tplc="89CA8B80">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A52F36"/>
    <w:multiLevelType w:val="hybridMultilevel"/>
    <w:tmpl w:val="480A144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045AEA"/>
    <w:multiLevelType w:val="hybridMultilevel"/>
    <w:tmpl w:val="3B20931C"/>
    <w:lvl w:ilvl="0" w:tplc="BAF84744">
      <w:start w:val="1"/>
      <w:numFmt w:val="bullet"/>
      <w:lvlText w:val=""/>
      <w:lvlJc w:val="left"/>
      <w:pPr>
        <w:ind w:left="0" w:firstLine="0"/>
      </w:pPr>
      <w:rPr>
        <w:rFonts w:ascii="Symbol" w:hAnsi="Symbol" w:hint="default"/>
      </w:rPr>
    </w:lvl>
    <w:lvl w:ilvl="1" w:tplc="FFFFFFFF">
      <w:numFmt w:val="bullet"/>
      <w:lvlText w:val="•"/>
      <w:lvlJc w:val="left"/>
      <w:pPr>
        <w:ind w:left="1080" w:hanging="360"/>
      </w:pPr>
      <w:rPr>
        <w:rFonts w:ascii="Arial" w:eastAsia="Cambria"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5055653"/>
    <w:multiLevelType w:val="hybridMultilevel"/>
    <w:tmpl w:val="218080D8"/>
    <w:lvl w:ilvl="0" w:tplc="671E5E6E">
      <w:start w:val="1"/>
      <w:numFmt w:val="decimal"/>
      <w:lvlText w:val="%1."/>
      <w:lvlJc w:val="left"/>
      <w:pPr>
        <w:ind w:left="-774" w:hanging="360"/>
      </w:pPr>
      <w:rPr>
        <w:rFonts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32" w15:restartNumberingAfterBreak="0">
    <w:nsid w:val="57F63F45"/>
    <w:multiLevelType w:val="hybridMultilevel"/>
    <w:tmpl w:val="0CDA5348"/>
    <w:lvl w:ilvl="0" w:tplc="1B3C0F3A">
      <w:start w:val="1"/>
      <w:numFmt w:val="bullet"/>
      <w:lvlText w:val=""/>
      <w:lvlJc w:val="left"/>
      <w:pPr>
        <w:ind w:left="0" w:firstLine="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3" w15:restartNumberingAfterBreak="0">
    <w:nsid w:val="594570D3"/>
    <w:multiLevelType w:val="hybridMultilevel"/>
    <w:tmpl w:val="23582CE2"/>
    <w:lvl w:ilvl="0" w:tplc="F1863DBE">
      <w:start w:val="1"/>
      <w:numFmt w:val="decimalZero"/>
      <w:lvlText w:val="%1."/>
      <w:lvlJc w:val="left"/>
      <w:pPr>
        <w:ind w:left="720" w:hanging="360"/>
      </w:pPr>
      <w:rPr>
        <w:rFonts w:eastAsia="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AA8310C"/>
    <w:multiLevelType w:val="hybridMultilevel"/>
    <w:tmpl w:val="C72444C2"/>
    <w:lvl w:ilvl="0" w:tplc="DD72E752">
      <w:start w:val="1"/>
      <w:numFmt w:val="decimal"/>
      <w:lvlText w:val="%1."/>
      <w:lvlJc w:val="left"/>
      <w:pPr>
        <w:ind w:left="0" w:firstLine="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4E2722B"/>
    <w:multiLevelType w:val="hybridMultilevel"/>
    <w:tmpl w:val="BFAA6C66"/>
    <w:lvl w:ilvl="0" w:tplc="27DC94AC">
      <w:start w:val="1"/>
      <w:numFmt w:val="lowerLetter"/>
      <w:lvlText w:val="%1)"/>
      <w:lvlJc w:val="left"/>
      <w:pPr>
        <w:tabs>
          <w:tab w:val="num" w:pos="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BB7B46"/>
    <w:multiLevelType w:val="hybridMultilevel"/>
    <w:tmpl w:val="8C4A6E74"/>
    <w:lvl w:ilvl="0" w:tplc="233639AA">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7" w15:restartNumberingAfterBreak="0">
    <w:nsid w:val="67574143"/>
    <w:multiLevelType w:val="hybridMultilevel"/>
    <w:tmpl w:val="3D4AA29A"/>
    <w:lvl w:ilvl="0" w:tplc="494C5DE2">
      <w:start w:val="1"/>
      <w:numFmt w:val="lowerLetter"/>
      <w:lvlText w:val="%1)"/>
      <w:lvlJc w:val="left"/>
      <w:pPr>
        <w:ind w:left="0" w:firstLine="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A823FE1"/>
    <w:multiLevelType w:val="hybridMultilevel"/>
    <w:tmpl w:val="FFFFFFFF"/>
    <w:lvl w:ilvl="0" w:tplc="0F044A06">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9" w15:restartNumberingAfterBreak="0">
    <w:nsid w:val="6B252B80"/>
    <w:multiLevelType w:val="hybridMultilevel"/>
    <w:tmpl w:val="6DF01C5E"/>
    <w:lvl w:ilvl="0" w:tplc="DF7C36CC">
      <w:start w:val="1"/>
      <w:numFmt w:val="bullet"/>
      <w:lvlText w:val=""/>
      <w:lvlJc w:val="left"/>
      <w:pPr>
        <w:ind w:left="0" w:firstLine="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C16594C"/>
    <w:multiLevelType w:val="hybridMultilevel"/>
    <w:tmpl w:val="1F02F0CA"/>
    <w:lvl w:ilvl="0" w:tplc="92903290">
      <w:start w:val="1"/>
      <w:numFmt w:val="decimal"/>
      <w:lvlText w:val="%1."/>
      <w:lvlJc w:val="left"/>
      <w:pPr>
        <w:ind w:left="-774" w:hanging="360"/>
      </w:pPr>
      <w:rPr>
        <w:rFonts w:eastAsia="Cambria"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41" w15:restartNumberingAfterBreak="0">
    <w:nsid w:val="6FF4222A"/>
    <w:multiLevelType w:val="hybridMultilevel"/>
    <w:tmpl w:val="480A144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6211BBE"/>
    <w:multiLevelType w:val="hybridMultilevel"/>
    <w:tmpl w:val="7C1010F6"/>
    <w:lvl w:ilvl="0" w:tplc="F7680E1A">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C651F2"/>
    <w:multiLevelType w:val="hybridMultilevel"/>
    <w:tmpl w:val="185E1F6E"/>
    <w:lvl w:ilvl="0" w:tplc="4614C79E">
      <w:start w:val="1"/>
      <w:numFmt w:val="lowerLetter"/>
      <w:lvlText w:val="%1)"/>
      <w:lvlJc w:val="left"/>
      <w:pPr>
        <w:ind w:left="0" w:firstLine="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8B923D4"/>
    <w:multiLevelType w:val="hybridMultilevel"/>
    <w:tmpl w:val="C8C257BC"/>
    <w:lvl w:ilvl="0" w:tplc="CF128122">
      <w:start w:val="1"/>
      <w:numFmt w:val="bullet"/>
      <w:lvlText w:val=""/>
      <w:lvlJc w:val="left"/>
      <w:pPr>
        <w:tabs>
          <w:tab w:val="num" w:pos="360"/>
        </w:tabs>
        <w:ind w:left="0" w:firstLine="0"/>
      </w:pPr>
      <w:rPr>
        <w:rFonts w:ascii="Wingdings" w:hAnsi="Wingdings" w:hint="default"/>
      </w:rPr>
    </w:lvl>
    <w:lvl w:ilvl="1" w:tplc="1006F982">
      <w:numFmt w:val="bullet"/>
      <w:lvlText w:val=""/>
      <w:lvlJc w:val="left"/>
      <w:pPr>
        <w:tabs>
          <w:tab w:val="num" w:pos="1080"/>
        </w:tabs>
        <w:ind w:left="1080" w:hanging="360"/>
      </w:pPr>
      <w:rPr>
        <w:rFonts w:ascii="Wingdings" w:hAnsi="Wingdings" w:hint="default"/>
      </w:rPr>
    </w:lvl>
    <w:lvl w:ilvl="2" w:tplc="74685916">
      <w:start w:val="1"/>
      <w:numFmt w:val="bullet"/>
      <w:lvlText w:val=""/>
      <w:lvlJc w:val="left"/>
      <w:pPr>
        <w:tabs>
          <w:tab w:val="num" w:pos="1800"/>
        </w:tabs>
        <w:ind w:left="1800" w:hanging="360"/>
      </w:pPr>
      <w:rPr>
        <w:rFonts w:ascii="Wingdings" w:hAnsi="Wingdings" w:hint="default"/>
      </w:rPr>
    </w:lvl>
    <w:lvl w:ilvl="3" w:tplc="F5B85D4E">
      <w:start w:val="1"/>
      <w:numFmt w:val="bullet"/>
      <w:lvlText w:val=""/>
      <w:lvlJc w:val="left"/>
      <w:pPr>
        <w:tabs>
          <w:tab w:val="num" w:pos="2520"/>
        </w:tabs>
        <w:ind w:left="2520" w:hanging="360"/>
      </w:pPr>
      <w:rPr>
        <w:rFonts w:ascii="Wingdings" w:hAnsi="Wingdings" w:hint="default"/>
      </w:rPr>
    </w:lvl>
    <w:lvl w:ilvl="4" w:tplc="10F618D6">
      <w:start w:val="1"/>
      <w:numFmt w:val="bullet"/>
      <w:lvlText w:val=""/>
      <w:lvlJc w:val="left"/>
      <w:pPr>
        <w:tabs>
          <w:tab w:val="num" w:pos="3240"/>
        </w:tabs>
        <w:ind w:left="3240" w:hanging="360"/>
      </w:pPr>
      <w:rPr>
        <w:rFonts w:ascii="Wingdings" w:hAnsi="Wingdings" w:hint="default"/>
      </w:rPr>
    </w:lvl>
    <w:lvl w:ilvl="5" w:tplc="17D6E9BA">
      <w:start w:val="1"/>
      <w:numFmt w:val="bullet"/>
      <w:lvlText w:val=""/>
      <w:lvlJc w:val="left"/>
      <w:pPr>
        <w:tabs>
          <w:tab w:val="num" w:pos="3960"/>
        </w:tabs>
        <w:ind w:left="3960" w:hanging="360"/>
      </w:pPr>
      <w:rPr>
        <w:rFonts w:ascii="Wingdings" w:hAnsi="Wingdings" w:hint="default"/>
      </w:rPr>
    </w:lvl>
    <w:lvl w:ilvl="6" w:tplc="3FE6B9B8">
      <w:start w:val="1"/>
      <w:numFmt w:val="bullet"/>
      <w:lvlText w:val=""/>
      <w:lvlJc w:val="left"/>
      <w:pPr>
        <w:tabs>
          <w:tab w:val="num" w:pos="4680"/>
        </w:tabs>
        <w:ind w:left="4680" w:hanging="360"/>
      </w:pPr>
      <w:rPr>
        <w:rFonts w:ascii="Wingdings" w:hAnsi="Wingdings" w:hint="default"/>
      </w:rPr>
    </w:lvl>
    <w:lvl w:ilvl="7" w:tplc="6100C3E4">
      <w:start w:val="1"/>
      <w:numFmt w:val="bullet"/>
      <w:lvlText w:val=""/>
      <w:lvlJc w:val="left"/>
      <w:pPr>
        <w:tabs>
          <w:tab w:val="num" w:pos="5400"/>
        </w:tabs>
        <w:ind w:left="5400" w:hanging="360"/>
      </w:pPr>
      <w:rPr>
        <w:rFonts w:ascii="Wingdings" w:hAnsi="Wingdings" w:hint="default"/>
      </w:rPr>
    </w:lvl>
    <w:lvl w:ilvl="8" w:tplc="86A00A56">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9366B46"/>
    <w:multiLevelType w:val="hybridMultilevel"/>
    <w:tmpl w:val="644A0A58"/>
    <w:lvl w:ilvl="0" w:tplc="D6866734">
      <w:start w:val="1"/>
      <w:numFmt w:val="lowerLetter"/>
      <w:lvlText w:val="%1)"/>
      <w:lvlJc w:val="left"/>
      <w:pPr>
        <w:ind w:left="0" w:firstLine="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A2354FA"/>
    <w:multiLevelType w:val="hybridMultilevel"/>
    <w:tmpl w:val="71D6A3A2"/>
    <w:lvl w:ilvl="0" w:tplc="F0186A8C">
      <w:start w:val="1"/>
      <w:numFmt w:val="lowerLetter"/>
      <w:lvlText w:val="%1)"/>
      <w:lvlJc w:val="left"/>
      <w:pPr>
        <w:ind w:left="0" w:firstLine="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C79119E"/>
    <w:multiLevelType w:val="hybridMultilevel"/>
    <w:tmpl w:val="FFFFFFFF"/>
    <w:lvl w:ilvl="0" w:tplc="EE2CBE22">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8" w15:restartNumberingAfterBreak="0">
    <w:nsid w:val="7D2E2473"/>
    <w:multiLevelType w:val="hybridMultilevel"/>
    <w:tmpl w:val="E8745D52"/>
    <w:lvl w:ilvl="0" w:tplc="A17A7030">
      <w:start w:val="1"/>
      <w:numFmt w:val="lowerLetter"/>
      <w:lvlText w:val="(%1)"/>
      <w:lvlJc w:val="left"/>
      <w:pPr>
        <w:ind w:left="0" w:firstLine="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23388461">
    <w:abstractNumId w:val="29"/>
  </w:num>
  <w:num w:numId="2" w16cid:durableId="2142376998">
    <w:abstractNumId w:val="2"/>
  </w:num>
  <w:num w:numId="3" w16cid:durableId="850100001">
    <w:abstractNumId w:val="11"/>
  </w:num>
  <w:num w:numId="4" w16cid:durableId="1553734297">
    <w:abstractNumId w:val="41"/>
  </w:num>
  <w:num w:numId="5" w16cid:durableId="410665088">
    <w:abstractNumId w:val="0"/>
  </w:num>
  <w:num w:numId="6" w16cid:durableId="1369528290">
    <w:abstractNumId w:val="13"/>
  </w:num>
  <w:num w:numId="7" w16cid:durableId="1097286859">
    <w:abstractNumId w:val="38"/>
  </w:num>
  <w:num w:numId="8" w16cid:durableId="974288035">
    <w:abstractNumId w:val="47"/>
  </w:num>
  <w:num w:numId="9" w16cid:durableId="1813671433">
    <w:abstractNumId w:val="20"/>
  </w:num>
  <w:num w:numId="10" w16cid:durableId="18882236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36693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74944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201796">
    <w:abstractNumId w:val="14"/>
  </w:num>
  <w:num w:numId="14" w16cid:durableId="47532123">
    <w:abstractNumId w:val="33"/>
  </w:num>
  <w:num w:numId="15" w16cid:durableId="1217158763">
    <w:abstractNumId w:val="26"/>
  </w:num>
  <w:num w:numId="16" w16cid:durableId="93134325">
    <w:abstractNumId w:val="28"/>
  </w:num>
  <w:num w:numId="17" w16cid:durableId="707801616">
    <w:abstractNumId w:val="19"/>
  </w:num>
  <w:num w:numId="18" w16cid:durableId="150561948">
    <w:abstractNumId w:val="18"/>
  </w:num>
  <w:num w:numId="19" w16cid:durableId="39600094">
    <w:abstractNumId w:val="42"/>
  </w:num>
  <w:num w:numId="20" w16cid:durableId="167184538">
    <w:abstractNumId w:val="17"/>
  </w:num>
  <w:num w:numId="21" w16cid:durableId="478107816">
    <w:abstractNumId w:val="1"/>
  </w:num>
  <w:num w:numId="22" w16cid:durableId="1225143150">
    <w:abstractNumId w:val="44"/>
  </w:num>
  <w:num w:numId="23" w16cid:durableId="1424692326">
    <w:abstractNumId w:val="4"/>
  </w:num>
  <w:num w:numId="24" w16cid:durableId="1140533300">
    <w:abstractNumId w:val="44"/>
  </w:num>
  <w:num w:numId="25" w16cid:durableId="685444429">
    <w:abstractNumId w:val="46"/>
  </w:num>
  <w:num w:numId="26" w16cid:durableId="1031110009">
    <w:abstractNumId w:val="12"/>
  </w:num>
  <w:num w:numId="27" w16cid:durableId="1296134554">
    <w:abstractNumId w:val="37"/>
  </w:num>
  <w:num w:numId="28" w16cid:durableId="50428953">
    <w:abstractNumId w:val="16"/>
  </w:num>
  <w:num w:numId="29" w16cid:durableId="1133330222">
    <w:abstractNumId w:val="43"/>
  </w:num>
  <w:num w:numId="30" w16cid:durableId="949699155">
    <w:abstractNumId w:val="3"/>
  </w:num>
  <w:num w:numId="31" w16cid:durableId="1595895796">
    <w:abstractNumId w:val="15"/>
  </w:num>
  <w:num w:numId="32" w16cid:durableId="283580829">
    <w:abstractNumId w:val="48"/>
  </w:num>
  <w:num w:numId="33" w16cid:durableId="1534612797">
    <w:abstractNumId w:val="34"/>
  </w:num>
  <w:num w:numId="34" w16cid:durableId="665212628">
    <w:abstractNumId w:val="25"/>
  </w:num>
  <w:num w:numId="35" w16cid:durableId="1090084479">
    <w:abstractNumId w:val="23"/>
  </w:num>
  <w:num w:numId="36" w16cid:durableId="493037614">
    <w:abstractNumId w:val="10"/>
  </w:num>
  <w:num w:numId="37" w16cid:durableId="1112282885">
    <w:abstractNumId w:val="32"/>
  </w:num>
  <w:num w:numId="38" w16cid:durableId="449516577">
    <w:abstractNumId w:val="30"/>
  </w:num>
  <w:num w:numId="39" w16cid:durableId="1984382070">
    <w:abstractNumId w:val="35"/>
  </w:num>
  <w:num w:numId="40" w16cid:durableId="780883381">
    <w:abstractNumId w:val="5"/>
  </w:num>
  <w:num w:numId="41" w16cid:durableId="1460103706">
    <w:abstractNumId w:val="31"/>
  </w:num>
  <w:num w:numId="42" w16cid:durableId="1103454082">
    <w:abstractNumId w:val="6"/>
  </w:num>
  <w:num w:numId="43" w16cid:durableId="193662262">
    <w:abstractNumId w:val="24"/>
  </w:num>
  <w:num w:numId="44" w16cid:durableId="818228044">
    <w:abstractNumId w:val="40"/>
  </w:num>
  <w:num w:numId="45" w16cid:durableId="707333984">
    <w:abstractNumId w:val="9"/>
  </w:num>
  <w:num w:numId="46" w16cid:durableId="1598293996">
    <w:abstractNumId w:val="45"/>
  </w:num>
  <w:num w:numId="47" w16cid:durableId="1724480330">
    <w:abstractNumId w:val="7"/>
  </w:num>
  <w:num w:numId="48" w16cid:durableId="221794465">
    <w:abstractNumId w:val="39"/>
  </w:num>
  <w:num w:numId="49" w16cid:durableId="2077971249">
    <w:abstractNumId w:val="22"/>
  </w:num>
  <w:num w:numId="50" w16cid:durableId="88709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C8"/>
    <w:rsid w:val="00005800"/>
    <w:rsid w:val="0001081D"/>
    <w:rsid w:val="000453E6"/>
    <w:rsid w:val="00056BEB"/>
    <w:rsid w:val="000604C1"/>
    <w:rsid w:val="00070231"/>
    <w:rsid w:val="000776E1"/>
    <w:rsid w:val="000876D6"/>
    <w:rsid w:val="000A6983"/>
    <w:rsid w:val="000C4127"/>
    <w:rsid w:val="000C5728"/>
    <w:rsid w:val="000E19AC"/>
    <w:rsid w:val="000E2DB5"/>
    <w:rsid w:val="00105D9A"/>
    <w:rsid w:val="00112B20"/>
    <w:rsid w:val="00123FC6"/>
    <w:rsid w:val="00133721"/>
    <w:rsid w:val="00140FB8"/>
    <w:rsid w:val="00143290"/>
    <w:rsid w:val="0014551E"/>
    <w:rsid w:val="001531A3"/>
    <w:rsid w:val="00177D74"/>
    <w:rsid w:val="00181DD7"/>
    <w:rsid w:val="00190D15"/>
    <w:rsid w:val="0019565E"/>
    <w:rsid w:val="00195BCC"/>
    <w:rsid w:val="001B28AF"/>
    <w:rsid w:val="001B7449"/>
    <w:rsid w:val="001C1B09"/>
    <w:rsid w:val="001C3EA4"/>
    <w:rsid w:val="001D7279"/>
    <w:rsid w:val="001F0AC5"/>
    <w:rsid w:val="001F4A90"/>
    <w:rsid w:val="00210AA7"/>
    <w:rsid w:val="00213F90"/>
    <w:rsid w:val="00214A26"/>
    <w:rsid w:val="002317C4"/>
    <w:rsid w:val="00234FEC"/>
    <w:rsid w:val="00236BBC"/>
    <w:rsid w:val="00240032"/>
    <w:rsid w:val="00246A12"/>
    <w:rsid w:val="00246C18"/>
    <w:rsid w:val="002509F1"/>
    <w:rsid w:val="00254C5D"/>
    <w:rsid w:val="00255EA5"/>
    <w:rsid w:val="00260132"/>
    <w:rsid w:val="0026063F"/>
    <w:rsid w:val="00272EDF"/>
    <w:rsid w:val="00274852"/>
    <w:rsid w:val="00277CA8"/>
    <w:rsid w:val="00280889"/>
    <w:rsid w:val="002A26BA"/>
    <w:rsid w:val="002F599D"/>
    <w:rsid w:val="00300532"/>
    <w:rsid w:val="00302D26"/>
    <w:rsid w:val="00306367"/>
    <w:rsid w:val="003215DA"/>
    <w:rsid w:val="00331E2D"/>
    <w:rsid w:val="0033259E"/>
    <w:rsid w:val="0033605B"/>
    <w:rsid w:val="003375D0"/>
    <w:rsid w:val="00357DBC"/>
    <w:rsid w:val="003705E9"/>
    <w:rsid w:val="00376DE9"/>
    <w:rsid w:val="003A1B76"/>
    <w:rsid w:val="003A5F40"/>
    <w:rsid w:val="003B40FF"/>
    <w:rsid w:val="003B714F"/>
    <w:rsid w:val="003C1FB9"/>
    <w:rsid w:val="003E2515"/>
    <w:rsid w:val="003F021E"/>
    <w:rsid w:val="003F11A6"/>
    <w:rsid w:val="003F3256"/>
    <w:rsid w:val="003F70F4"/>
    <w:rsid w:val="00415C89"/>
    <w:rsid w:val="00417691"/>
    <w:rsid w:val="00420767"/>
    <w:rsid w:val="0042358C"/>
    <w:rsid w:val="00426CEE"/>
    <w:rsid w:val="004324EF"/>
    <w:rsid w:val="0043546B"/>
    <w:rsid w:val="00446755"/>
    <w:rsid w:val="0045496A"/>
    <w:rsid w:val="00457584"/>
    <w:rsid w:val="00463C65"/>
    <w:rsid w:val="004679F6"/>
    <w:rsid w:val="00480287"/>
    <w:rsid w:val="0049057D"/>
    <w:rsid w:val="00492BC6"/>
    <w:rsid w:val="004A0E72"/>
    <w:rsid w:val="004A343A"/>
    <w:rsid w:val="004A4168"/>
    <w:rsid w:val="004B4748"/>
    <w:rsid w:val="004B4925"/>
    <w:rsid w:val="004C320F"/>
    <w:rsid w:val="004C4374"/>
    <w:rsid w:val="004D6908"/>
    <w:rsid w:val="004D6B89"/>
    <w:rsid w:val="004E06FD"/>
    <w:rsid w:val="004E1A19"/>
    <w:rsid w:val="004E2080"/>
    <w:rsid w:val="004E24F3"/>
    <w:rsid w:val="004E595D"/>
    <w:rsid w:val="005041D9"/>
    <w:rsid w:val="00504D16"/>
    <w:rsid w:val="00513069"/>
    <w:rsid w:val="005155C1"/>
    <w:rsid w:val="005167F8"/>
    <w:rsid w:val="005220A0"/>
    <w:rsid w:val="005300C5"/>
    <w:rsid w:val="00533AC0"/>
    <w:rsid w:val="005375A3"/>
    <w:rsid w:val="0056116E"/>
    <w:rsid w:val="0056597E"/>
    <w:rsid w:val="00573557"/>
    <w:rsid w:val="005872AF"/>
    <w:rsid w:val="0059010E"/>
    <w:rsid w:val="005A5F43"/>
    <w:rsid w:val="005A6A97"/>
    <w:rsid w:val="005B4874"/>
    <w:rsid w:val="005C2FDF"/>
    <w:rsid w:val="005E067B"/>
    <w:rsid w:val="005E3841"/>
    <w:rsid w:val="005E5546"/>
    <w:rsid w:val="005F7813"/>
    <w:rsid w:val="006021B0"/>
    <w:rsid w:val="006070DD"/>
    <w:rsid w:val="00622278"/>
    <w:rsid w:val="00625BC1"/>
    <w:rsid w:val="00631C60"/>
    <w:rsid w:val="006358C0"/>
    <w:rsid w:val="006457DE"/>
    <w:rsid w:val="006541ED"/>
    <w:rsid w:val="0066707D"/>
    <w:rsid w:val="006905AD"/>
    <w:rsid w:val="006A7633"/>
    <w:rsid w:val="006B4F10"/>
    <w:rsid w:val="006B54EC"/>
    <w:rsid w:val="006B5AB7"/>
    <w:rsid w:val="006C0667"/>
    <w:rsid w:val="006C3991"/>
    <w:rsid w:val="006C78C2"/>
    <w:rsid w:val="006D24A8"/>
    <w:rsid w:val="006E25E3"/>
    <w:rsid w:val="007020B5"/>
    <w:rsid w:val="00706276"/>
    <w:rsid w:val="00711521"/>
    <w:rsid w:val="00732E9B"/>
    <w:rsid w:val="00741380"/>
    <w:rsid w:val="00756C58"/>
    <w:rsid w:val="007655B4"/>
    <w:rsid w:val="007655E1"/>
    <w:rsid w:val="00774CED"/>
    <w:rsid w:val="00780BD6"/>
    <w:rsid w:val="00785EA0"/>
    <w:rsid w:val="00787B34"/>
    <w:rsid w:val="007A02C9"/>
    <w:rsid w:val="007B16FF"/>
    <w:rsid w:val="007B2578"/>
    <w:rsid w:val="007C6FA0"/>
    <w:rsid w:val="007D4F91"/>
    <w:rsid w:val="007D7BB5"/>
    <w:rsid w:val="007E1366"/>
    <w:rsid w:val="008066EA"/>
    <w:rsid w:val="0081642C"/>
    <w:rsid w:val="00822A80"/>
    <w:rsid w:val="0082758D"/>
    <w:rsid w:val="00834EE6"/>
    <w:rsid w:val="008431D6"/>
    <w:rsid w:val="00846096"/>
    <w:rsid w:val="008475B1"/>
    <w:rsid w:val="00847C20"/>
    <w:rsid w:val="00853AF2"/>
    <w:rsid w:val="00863A1B"/>
    <w:rsid w:val="0087121F"/>
    <w:rsid w:val="008876AC"/>
    <w:rsid w:val="00897D77"/>
    <w:rsid w:val="008B1B41"/>
    <w:rsid w:val="008B406A"/>
    <w:rsid w:val="008C1FA4"/>
    <w:rsid w:val="008C7120"/>
    <w:rsid w:val="008D2FE5"/>
    <w:rsid w:val="008E7127"/>
    <w:rsid w:val="008F0D64"/>
    <w:rsid w:val="008F4A5C"/>
    <w:rsid w:val="0091168B"/>
    <w:rsid w:val="00914883"/>
    <w:rsid w:val="00915869"/>
    <w:rsid w:val="00943CDA"/>
    <w:rsid w:val="0096055B"/>
    <w:rsid w:val="00960580"/>
    <w:rsid w:val="00962EE9"/>
    <w:rsid w:val="00964E8F"/>
    <w:rsid w:val="00976C53"/>
    <w:rsid w:val="0098234D"/>
    <w:rsid w:val="00985DD7"/>
    <w:rsid w:val="00987EA6"/>
    <w:rsid w:val="00991654"/>
    <w:rsid w:val="009A63B1"/>
    <w:rsid w:val="009B1070"/>
    <w:rsid w:val="009C2F88"/>
    <w:rsid w:val="009E664E"/>
    <w:rsid w:val="009F18E5"/>
    <w:rsid w:val="009F696E"/>
    <w:rsid w:val="00A143B1"/>
    <w:rsid w:val="00A27347"/>
    <w:rsid w:val="00A36F96"/>
    <w:rsid w:val="00A374E0"/>
    <w:rsid w:val="00A51404"/>
    <w:rsid w:val="00A85C4F"/>
    <w:rsid w:val="00A96012"/>
    <w:rsid w:val="00AA0D5A"/>
    <w:rsid w:val="00AB1C4A"/>
    <w:rsid w:val="00AC7BE6"/>
    <w:rsid w:val="00AF341D"/>
    <w:rsid w:val="00B05115"/>
    <w:rsid w:val="00B05B1C"/>
    <w:rsid w:val="00B13F82"/>
    <w:rsid w:val="00B15ED6"/>
    <w:rsid w:val="00B16FC4"/>
    <w:rsid w:val="00B234BF"/>
    <w:rsid w:val="00B4102B"/>
    <w:rsid w:val="00B43665"/>
    <w:rsid w:val="00B54985"/>
    <w:rsid w:val="00B630BE"/>
    <w:rsid w:val="00B71D1C"/>
    <w:rsid w:val="00B72928"/>
    <w:rsid w:val="00B734C8"/>
    <w:rsid w:val="00B76BFE"/>
    <w:rsid w:val="00B853EB"/>
    <w:rsid w:val="00B918E4"/>
    <w:rsid w:val="00B94A99"/>
    <w:rsid w:val="00BA5183"/>
    <w:rsid w:val="00BC079F"/>
    <w:rsid w:val="00BC6572"/>
    <w:rsid w:val="00BE747F"/>
    <w:rsid w:val="00BF1F4B"/>
    <w:rsid w:val="00BF28BD"/>
    <w:rsid w:val="00BF67A0"/>
    <w:rsid w:val="00BF75A9"/>
    <w:rsid w:val="00C0112E"/>
    <w:rsid w:val="00C03120"/>
    <w:rsid w:val="00C12FCA"/>
    <w:rsid w:val="00C27184"/>
    <w:rsid w:val="00C328F4"/>
    <w:rsid w:val="00C45664"/>
    <w:rsid w:val="00C47DDD"/>
    <w:rsid w:val="00C55F28"/>
    <w:rsid w:val="00C573B6"/>
    <w:rsid w:val="00C573C0"/>
    <w:rsid w:val="00C652F3"/>
    <w:rsid w:val="00C84DF6"/>
    <w:rsid w:val="00C8594E"/>
    <w:rsid w:val="00C86053"/>
    <w:rsid w:val="00CB0808"/>
    <w:rsid w:val="00CB242C"/>
    <w:rsid w:val="00CC18BD"/>
    <w:rsid w:val="00CC2BF1"/>
    <w:rsid w:val="00CD6D8A"/>
    <w:rsid w:val="00CE5754"/>
    <w:rsid w:val="00CE631A"/>
    <w:rsid w:val="00CF0CC6"/>
    <w:rsid w:val="00CF3943"/>
    <w:rsid w:val="00CF682B"/>
    <w:rsid w:val="00D0472D"/>
    <w:rsid w:val="00D06EC8"/>
    <w:rsid w:val="00D0738C"/>
    <w:rsid w:val="00D10716"/>
    <w:rsid w:val="00D10D41"/>
    <w:rsid w:val="00D13CF9"/>
    <w:rsid w:val="00D25D05"/>
    <w:rsid w:val="00D35107"/>
    <w:rsid w:val="00D365AF"/>
    <w:rsid w:val="00D36A82"/>
    <w:rsid w:val="00D403DF"/>
    <w:rsid w:val="00D41F99"/>
    <w:rsid w:val="00D435F9"/>
    <w:rsid w:val="00D63B7E"/>
    <w:rsid w:val="00D73046"/>
    <w:rsid w:val="00D7344A"/>
    <w:rsid w:val="00D80E59"/>
    <w:rsid w:val="00D86FC2"/>
    <w:rsid w:val="00DA3173"/>
    <w:rsid w:val="00DA7910"/>
    <w:rsid w:val="00DC3E1E"/>
    <w:rsid w:val="00DD5189"/>
    <w:rsid w:val="00DE14F9"/>
    <w:rsid w:val="00DE33E0"/>
    <w:rsid w:val="00DF501E"/>
    <w:rsid w:val="00DF5606"/>
    <w:rsid w:val="00E01557"/>
    <w:rsid w:val="00E07902"/>
    <w:rsid w:val="00E62E2C"/>
    <w:rsid w:val="00E70A73"/>
    <w:rsid w:val="00E8027D"/>
    <w:rsid w:val="00E82338"/>
    <w:rsid w:val="00E97A56"/>
    <w:rsid w:val="00EB4AFC"/>
    <w:rsid w:val="00EC1F67"/>
    <w:rsid w:val="00EC3409"/>
    <w:rsid w:val="00EE2CF0"/>
    <w:rsid w:val="00EE2DA8"/>
    <w:rsid w:val="00EE478F"/>
    <w:rsid w:val="00EF3380"/>
    <w:rsid w:val="00F057DE"/>
    <w:rsid w:val="00F07186"/>
    <w:rsid w:val="00F075B0"/>
    <w:rsid w:val="00F1115D"/>
    <w:rsid w:val="00F136D2"/>
    <w:rsid w:val="00F143AC"/>
    <w:rsid w:val="00F14648"/>
    <w:rsid w:val="00F1631F"/>
    <w:rsid w:val="00F5307F"/>
    <w:rsid w:val="00F571A1"/>
    <w:rsid w:val="00F66504"/>
    <w:rsid w:val="00F67591"/>
    <w:rsid w:val="00F916DE"/>
    <w:rsid w:val="00F94344"/>
    <w:rsid w:val="00F947AB"/>
    <w:rsid w:val="00F976B6"/>
    <w:rsid w:val="00FA3054"/>
    <w:rsid w:val="00FB3C64"/>
    <w:rsid w:val="00FC1438"/>
    <w:rsid w:val="00FC5139"/>
    <w:rsid w:val="00FE0183"/>
    <w:rsid w:val="00FE485A"/>
    <w:rsid w:val="00FF0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85BED"/>
  <w15:chartTrackingRefBased/>
  <w15:docId w15:val="{58B26F18-AFF1-4B9E-9207-82B9AD67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EC8"/>
    <w:pPr>
      <w:spacing w:after="200" w:line="240" w:lineRule="auto"/>
    </w:pPr>
    <w:rPr>
      <w:rFonts w:ascii="Cambria" w:eastAsia="Cambria" w:hAnsi="Cambria"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EC8"/>
    <w:pPr>
      <w:tabs>
        <w:tab w:val="center" w:pos="4320"/>
        <w:tab w:val="right" w:pos="8640"/>
      </w:tabs>
      <w:spacing w:after="0"/>
    </w:pPr>
    <w:rPr>
      <w:lang w:val="x-none" w:eastAsia="x-none"/>
    </w:rPr>
  </w:style>
  <w:style w:type="character" w:customStyle="1" w:styleId="HeaderChar">
    <w:name w:val="Header Char"/>
    <w:basedOn w:val="DefaultParagraphFont"/>
    <w:link w:val="Header"/>
    <w:uiPriority w:val="99"/>
    <w:rsid w:val="00D06EC8"/>
    <w:rPr>
      <w:rFonts w:ascii="Cambria" w:eastAsia="Cambria" w:hAnsi="Cambria" w:cs="Times New Roman"/>
      <w:kern w:val="0"/>
      <w:sz w:val="24"/>
      <w:szCs w:val="24"/>
      <w:lang w:val="x-none" w:eastAsia="x-none"/>
      <w14:ligatures w14:val="none"/>
    </w:rPr>
  </w:style>
  <w:style w:type="paragraph" w:styleId="Footer">
    <w:name w:val="footer"/>
    <w:basedOn w:val="Normal"/>
    <w:link w:val="FooterChar"/>
    <w:uiPriority w:val="99"/>
    <w:unhideWhenUsed/>
    <w:rsid w:val="00D06EC8"/>
    <w:pPr>
      <w:tabs>
        <w:tab w:val="center" w:pos="4320"/>
        <w:tab w:val="right" w:pos="8640"/>
      </w:tabs>
      <w:spacing w:after="0"/>
    </w:pPr>
    <w:rPr>
      <w:lang w:val="x-none" w:eastAsia="x-none"/>
    </w:rPr>
  </w:style>
  <w:style w:type="character" w:customStyle="1" w:styleId="FooterChar">
    <w:name w:val="Footer Char"/>
    <w:basedOn w:val="DefaultParagraphFont"/>
    <w:link w:val="Footer"/>
    <w:uiPriority w:val="99"/>
    <w:rsid w:val="00D06EC8"/>
    <w:rPr>
      <w:rFonts w:ascii="Cambria" w:eastAsia="Cambria" w:hAnsi="Cambria" w:cs="Times New Roman"/>
      <w:kern w:val="0"/>
      <w:sz w:val="24"/>
      <w:szCs w:val="24"/>
      <w:lang w:val="x-none" w:eastAsia="x-none"/>
      <w14:ligatures w14:val="none"/>
    </w:rPr>
  </w:style>
  <w:style w:type="character" w:styleId="PageNumber">
    <w:name w:val="page number"/>
    <w:uiPriority w:val="99"/>
    <w:semiHidden/>
    <w:unhideWhenUsed/>
    <w:rsid w:val="00D06EC8"/>
    <w:rPr>
      <w:rFonts w:ascii="Arial" w:hAnsi="Arial"/>
      <w:color w:val="404040"/>
      <w:sz w:val="16"/>
    </w:rPr>
  </w:style>
  <w:style w:type="paragraph" w:customStyle="1" w:styleId="Address">
    <w:name w:val="Address"/>
    <w:basedOn w:val="Normal"/>
    <w:qFormat/>
    <w:rsid w:val="00D06EC8"/>
    <w:pPr>
      <w:spacing w:after="0" w:line="300" w:lineRule="auto"/>
    </w:pPr>
    <w:rPr>
      <w:rFonts w:ascii="Arial" w:hAnsi="Arial"/>
      <w:sz w:val="22"/>
    </w:rPr>
  </w:style>
  <w:style w:type="paragraph" w:styleId="ListParagraph">
    <w:name w:val="List Paragraph"/>
    <w:basedOn w:val="Normal"/>
    <w:uiPriority w:val="34"/>
    <w:qFormat/>
    <w:rsid w:val="00D06EC8"/>
    <w:pPr>
      <w:ind w:left="720"/>
      <w:contextualSpacing/>
    </w:pPr>
  </w:style>
  <w:style w:type="paragraph" w:styleId="NoSpacing">
    <w:name w:val="No Spacing"/>
    <w:uiPriority w:val="1"/>
    <w:qFormat/>
    <w:rsid w:val="00987EA6"/>
    <w:pPr>
      <w:spacing w:after="0" w:line="240" w:lineRule="auto"/>
    </w:pPr>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1647</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Siphumezo Makuzeni</dc:creator>
  <cp:keywords/>
  <dc:description/>
  <cp:lastModifiedBy>Derrick Spies</cp:lastModifiedBy>
  <cp:revision>2</cp:revision>
  <dcterms:created xsi:type="dcterms:W3CDTF">2026-04-13T08:49:00Z</dcterms:created>
  <dcterms:modified xsi:type="dcterms:W3CDTF">2026-04-13T08:49:00Z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917aa7-2b88-4a35-a1ca-6ad6798353d7_Enabled">
    <vt:lpwstr>true</vt:lpwstr>
  </property>
  <property fmtid="{D5CDD505-2E9C-101B-9397-08002B2CF9AE}" pid="3" name="MSIP_Label_7e917aa7-2b88-4a35-a1ca-6ad6798353d7_SetDate">
    <vt:lpwstr>2025-06-23T08:57:14Z</vt:lpwstr>
  </property>
  <property fmtid="{D5CDD505-2E9C-101B-9397-08002B2CF9AE}" pid="4" name="MSIP_Label_7e917aa7-2b88-4a35-a1ca-6ad6798353d7_Method">
    <vt:lpwstr>Standard</vt:lpwstr>
  </property>
  <property fmtid="{D5CDD505-2E9C-101B-9397-08002B2CF9AE}" pid="5" name="MSIP_Label_7e917aa7-2b88-4a35-a1ca-6ad6798353d7_Name">
    <vt:lpwstr>OTP Confidential</vt:lpwstr>
  </property>
  <property fmtid="{D5CDD505-2E9C-101B-9397-08002B2CF9AE}" pid="6" name="MSIP_Label_7e917aa7-2b88-4a35-a1ca-6ad6798353d7_SiteId">
    <vt:lpwstr>4ddc0aab-0096-426e-bba8-24cbf0387770</vt:lpwstr>
  </property>
  <property fmtid="{D5CDD505-2E9C-101B-9397-08002B2CF9AE}" pid="7" name="MSIP_Label_7e917aa7-2b88-4a35-a1ca-6ad6798353d7_ActionId">
    <vt:lpwstr>c9c76a74-6c4c-4b3d-a515-c543eddbfbed</vt:lpwstr>
  </property>
  <property fmtid="{D5CDD505-2E9C-101B-9397-08002B2CF9AE}" pid="8" name="MSIP_Label_7e917aa7-2b88-4a35-a1ca-6ad6798353d7_ContentBits">
    <vt:lpwstr>0</vt:lpwstr>
  </property>
  <property fmtid="{D5CDD505-2E9C-101B-9397-08002B2CF9AE}" pid="9" name="MSIP_Label_7e917aa7-2b88-4a35-a1ca-6ad6798353d7_Tag">
    <vt:lpwstr>10, 3, 0, 1</vt:lpwstr>
  </property>
  <property fmtid="{D5CDD505-2E9C-101B-9397-08002B2CF9AE}" pid="10" name="GrammarlyDocumentId">
    <vt:lpwstr>05ac8282-ac47-4286-88c6-e96e7408caf8</vt:lpwstr>
  </property>
</Properties>
</file>